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17B8A" w14:textId="77777777" w:rsidR="00F71407" w:rsidRDefault="00F71407" w:rsidP="00F71407">
      <w:pPr>
        <w:pStyle w:val="PartN"/>
        <w:widowControl w:val="0"/>
        <w:tabs>
          <w:tab w:val="left" w:pos="420"/>
        </w:tabs>
        <w:suppressAutoHyphens w:val="0"/>
        <w:spacing w:before="0" w:after="120"/>
        <w:rPr>
          <w:sz w:val="72"/>
          <w:szCs w:val="72"/>
        </w:rPr>
      </w:pPr>
      <w:r>
        <w:rPr>
          <w:smallCaps/>
          <w:sz w:val="72"/>
          <w:szCs w:val="72"/>
        </w:rPr>
        <w:t>Part Two</w:t>
      </w:r>
      <w:r>
        <w:rPr>
          <w:smallCaps/>
          <w:sz w:val="72"/>
          <w:szCs w:val="72"/>
        </w:rPr>
        <w:br/>
      </w:r>
      <w:r>
        <w:rPr>
          <w:smallCaps/>
          <w:sz w:val="72"/>
          <w:szCs w:val="72"/>
        </w:rPr>
        <w:br/>
      </w:r>
      <w:r>
        <w:rPr>
          <w:sz w:val="72"/>
          <w:szCs w:val="72"/>
        </w:rPr>
        <w:t>Answers</w:t>
      </w:r>
      <w:r>
        <w:rPr>
          <w:sz w:val="72"/>
          <w:szCs w:val="72"/>
        </w:rPr>
        <w:br/>
        <w:t>to End-of-Chapter</w:t>
      </w:r>
      <w:r>
        <w:rPr>
          <w:sz w:val="72"/>
          <w:szCs w:val="72"/>
        </w:rPr>
        <w:br/>
        <w:t>Questions and Problems</w:t>
      </w:r>
    </w:p>
    <w:p w14:paraId="413D3014" w14:textId="77777777" w:rsidR="00F71407" w:rsidRDefault="00F71407" w:rsidP="00F71407">
      <w:pPr>
        <w:pStyle w:val="ChNo"/>
        <w:spacing w:after="120"/>
        <w:rPr>
          <w:rFonts w:ascii="Times New Roman" w:hAnsi="Times New Roman"/>
          <w:sz w:val="56"/>
          <w:szCs w:val="56"/>
        </w:rPr>
      </w:pPr>
    </w:p>
    <w:p w14:paraId="636A4C06" w14:textId="77777777" w:rsidR="00F71407" w:rsidRDefault="00F71407" w:rsidP="00F71407">
      <w:pPr>
        <w:pStyle w:val="ChNo"/>
        <w:spacing w:after="120"/>
        <w:rPr>
          <w:rFonts w:ascii="Times New Roman" w:hAnsi="Times New Roman"/>
          <w:sz w:val="56"/>
          <w:szCs w:val="56"/>
        </w:rPr>
      </w:pPr>
    </w:p>
    <w:p w14:paraId="7FF37D6F" w14:textId="77777777" w:rsidR="00F71407" w:rsidRDefault="00F71407" w:rsidP="00F71407">
      <w:pPr>
        <w:pStyle w:val="ChNo"/>
        <w:spacing w:after="120"/>
        <w:rPr>
          <w:rFonts w:ascii="Times New Roman" w:hAnsi="Times New Roman"/>
          <w:sz w:val="56"/>
          <w:szCs w:val="56"/>
        </w:rPr>
      </w:pPr>
    </w:p>
    <w:p w14:paraId="3B2003CF" w14:textId="77777777" w:rsidR="00F71407" w:rsidRDefault="00F71407" w:rsidP="00F71407">
      <w:pPr>
        <w:pStyle w:val="ChNo"/>
        <w:spacing w:after="120"/>
        <w:rPr>
          <w:rFonts w:ascii="Times New Roman" w:hAnsi="Times New Roman"/>
          <w:sz w:val="56"/>
          <w:szCs w:val="56"/>
        </w:rPr>
      </w:pPr>
    </w:p>
    <w:p w14:paraId="563EF909" w14:textId="77777777" w:rsidR="00F71407" w:rsidRDefault="00F71407" w:rsidP="00F71407">
      <w:pPr>
        <w:pStyle w:val="ChNo"/>
        <w:spacing w:after="120"/>
        <w:rPr>
          <w:rFonts w:ascii="Times New Roman" w:hAnsi="Times New Roman"/>
          <w:sz w:val="24"/>
          <w:szCs w:val="24"/>
        </w:rPr>
      </w:pPr>
    </w:p>
    <w:p w14:paraId="48E4AA22" w14:textId="77777777" w:rsidR="00F71407" w:rsidRDefault="00F71407" w:rsidP="00F71407">
      <w:pPr>
        <w:pStyle w:val="ChNo"/>
        <w:spacing w:after="120"/>
        <w:rPr>
          <w:rFonts w:ascii="Times New Roman" w:hAnsi="Times New Roman"/>
          <w:sz w:val="24"/>
          <w:szCs w:val="24"/>
        </w:rPr>
      </w:pPr>
    </w:p>
    <w:p w14:paraId="075FA85B" w14:textId="77777777" w:rsidR="00F71407" w:rsidRDefault="00F71407" w:rsidP="00F71407">
      <w:pPr>
        <w:pStyle w:val="ChNo"/>
        <w:spacing w:after="120"/>
        <w:rPr>
          <w:rFonts w:ascii="Times New Roman" w:hAnsi="Times New Roman"/>
          <w:sz w:val="24"/>
          <w:szCs w:val="24"/>
        </w:rPr>
      </w:pPr>
    </w:p>
    <w:p w14:paraId="7BCA61E7" w14:textId="77777777" w:rsidR="00F71407" w:rsidRDefault="00F71407" w:rsidP="00F71407">
      <w:pPr>
        <w:pStyle w:val="ChNo"/>
        <w:spacing w:after="120"/>
        <w:rPr>
          <w:rFonts w:ascii="Times New Roman" w:hAnsi="Times New Roman"/>
          <w:sz w:val="24"/>
          <w:szCs w:val="24"/>
        </w:rPr>
      </w:pPr>
    </w:p>
    <w:p w14:paraId="1E1AD9A0" w14:textId="77777777" w:rsidR="00F71407" w:rsidRDefault="00F71407" w:rsidP="00F71407">
      <w:pPr>
        <w:pStyle w:val="ChNo"/>
        <w:spacing w:after="120"/>
        <w:rPr>
          <w:rFonts w:ascii="Times New Roman" w:hAnsi="Times New Roman"/>
          <w:sz w:val="24"/>
          <w:szCs w:val="24"/>
        </w:rPr>
      </w:pPr>
    </w:p>
    <w:p w14:paraId="071B8899" w14:textId="77777777" w:rsidR="00F71407" w:rsidRDefault="00F71407" w:rsidP="00F71407">
      <w:pPr>
        <w:pStyle w:val="ChNo"/>
        <w:spacing w:after="120"/>
        <w:rPr>
          <w:rFonts w:ascii="Times New Roman" w:hAnsi="Times New Roman"/>
          <w:sz w:val="24"/>
          <w:szCs w:val="24"/>
        </w:rPr>
      </w:pPr>
    </w:p>
    <w:p w14:paraId="46541545" w14:textId="77777777" w:rsidR="00F71407" w:rsidRDefault="00F71407" w:rsidP="00F71407">
      <w:pPr>
        <w:pStyle w:val="ChNo"/>
        <w:spacing w:after="120"/>
        <w:rPr>
          <w:rFonts w:ascii="Times New Roman" w:hAnsi="Times New Roman"/>
          <w:sz w:val="24"/>
          <w:szCs w:val="24"/>
        </w:rPr>
      </w:pPr>
    </w:p>
    <w:p w14:paraId="22C0E10B" w14:textId="77777777" w:rsidR="00F71407" w:rsidRDefault="00F71407" w:rsidP="00F71407">
      <w:pPr>
        <w:pStyle w:val="ChNo"/>
        <w:spacing w:after="120"/>
        <w:rPr>
          <w:rFonts w:ascii="Times New Roman" w:hAnsi="Times New Roman"/>
          <w:sz w:val="24"/>
          <w:szCs w:val="24"/>
        </w:rPr>
      </w:pPr>
    </w:p>
    <w:p w14:paraId="5C8628D4" w14:textId="77777777" w:rsidR="00F71407" w:rsidRDefault="00F71407" w:rsidP="00F71407">
      <w:pPr>
        <w:pStyle w:val="ChNo"/>
        <w:spacing w:after="120"/>
        <w:rPr>
          <w:rFonts w:ascii="Times New Roman" w:hAnsi="Times New Roman"/>
          <w:sz w:val="24"/>
          <w:szCs w:val="24"/>
        </w:rPr>
      </w:pPr>
    </w:p>
    <w:p w14:paraId="21D931F2" w14:textId="77777777" w:rsidR="00F71407" w:rsidRDefault="00F71407" w:rsidP="00F71407">
      <w:pPr>
        <w:pStyle w:val="ChNo"/>
        <w:spacing w:after="120"/>
        <w:rPr>
          <w:rFonts w:ascii="Times New Roman" w:hAnsi="Times New Roman"/>
          <w:sz w:val="24"/>
          <w:szCs w:val="24"/>
        </w:rPr>
      </w:pPr>
    </w:p>
    <w:p w14:paraId="245DDE18" w14:textId="77777777" w:rsidR="00F71407" w:rsidRDefault="00F71407" w:rsidP="00F71407">
      <w:pPr>
        <w:pStyle w:val="ChNo"/>
        <w:spacing w:after="120"/>
        <w:rPr>
          <w:rFonts w:ascii="Times New Roman" w:hAnsi="Times New Roman"/>
          <w:sz w:val="24"/>
          <w:szCs w:val="24"/>
        </w:rPr>
      </w:pPr>
    </w:p>
    <w:p w14:paraId="401DF5A4" w14:textId="2952F628" w:rsidR="00F71407" w:rsidRDefault="00F71407" w:rsidP="00F71407">
      <w:pPr>
        <w:pStyle w:val="ChNo"/>
        <w:spacing w:after="120"/>
        <w:rPr>
          <w:rFonts w:ascii="Times New Roman" w:hAnsi="Times New Roman"/>
          <w:sz w:val="24"/>
          <w:szCs w:val="24"/>
        </w:rPr>
      </w:pPr>
      <w:bookmarkStart w:id="0" w:name="_GoBack"/>
      <w:bookmarkEnd w:id="0"/>
    </w:p>
    <w:p w14:paraId="586573E3" w14:textId="77777777" w:rsidR="00F71407" w:rsidRDefault="00F71407" w:rsidP="00F71407">
      <w:pPr>
        <w:pStyle w:val="ChNo"/>
        <w:spacing w:after="120"/>
        <w:rPr>
          <w:rFonts w:ascii="Times New Roman" w:hAnsi="Times New Roman"/>
          <w:sz w:val="24"/>
          <w:szCs w:val="24"/>
        </w:rPr>
      </w:pPr>
      <w:r>
        <w:rPr>
          <w:rFonts w:ascii="Times New Roman" w:hAnsi="Times New Roman"/>
          <w:sz w:val="24"/>
          <w:szCs w:val="24"/>
        </w:rPr>
        <w:t>Chapter 1</w:t>
      </w:r>
    </w:p>
    <w:p w14:paraId="471BA71A" w14:textId="77777777" w:rsidR="00F71407" w:rsidRDefault="00F71407" w:rsidP="00F71407">
      <w:pPr>
        <w:pStyle w:val="H1"/>
        <w:widowControl w:val="0"/>
        <w:tabs>
          <w:tab w:val="clear" w:pos="0"/>
          <w:tab w:val="left" w:pos="420"/>
        </w:tabs>
        <w:suppressAutoHyphens w:val="0"/>
        <w:spacing w:after="120"/>
        <w:rPr>
          <w:rFonts w:ascii="Times New Roman" w:hAnsi="Times New Roman"/>
          <w:sz w:val="24"/>
          <w:szCs w:val="24"/>
        </w:rPr>
      </w:pPr>
      <w:r>
        <w:rPr>
          <w:rFonts w:ascii="Times New Roman" w:hAnsi="Times New Roman"/>
          <w:sz w:val="24"/>
          <w:szCs w:val="24"/>
        </w:rPr>
        <w:t>ANSWERS TO QUESTIONS</w:t>
      </w:r>
    </w:p>
    <w:p w14:paraId="0AE66FE8" w14:textId="77777777" w:rsidR="00F71407" w:rsidRDefault="00F71407" w:rsidP="00F71407">
      <w:pPr>
        <w:pStyle w:val="H1"/>
        <w:widowControl w:val="0"/>
        <w:tabs>
          <w:tab w:val="clear" w:pos="0"/>
          <w:tab w:val="left" w:pos="420"/>
        </w:tabs>
        <w:suppressAutoHyphens w:val="0"/>
        <w:spacing w:after="120"/>
        <w:rPr>
          <w:rFonts w:ascii="Times New Roman" w:hAnsi="Times New Roman"/>
          <w:sz w:val="24"/>
          <w:szCs w:val="24"/>
        </w:rPr>
      </w:pPr>
    </w:p>
    <w:p w14:paraId="455FDA7E" w14:textId="77777777" w:rsidR="00F71407" w:rsidRDefault="00F71407" w:rsidP="00F71407">
      <w:pPr>
        <w:pStyle w:val="Style1"/>
        <w:keepNext w:val="0"/>
        <w:keepLines w:val="0"/>
        <w:numPr>
          <w:ilvl w:val="0"/>
          <w:numId w:val="1"/>
        </w:numPr>
        <w:tabs>
          <w:tab w:val="clear" w:pos="270"/>
          <w:tab w:val="left" w:pos="420"/>
        </w:tabs>
        <w:spacing w:after="120"/>
        <w:rPr>
          <w:rFonts w:ascii="Times New Roman" w:hAnsi="Times New Roman"/>
          <w:i/>
          <w:sz w:val="24"/>
          <w:szCs w:val="24"/>
        </w:rPr>
      </w:pPr>
      <w:r>
        <w:rPr>
          <w:rFonts w:ascii="Times New Roman" w:hAnsi="Times New Roman"/>
          <w:i/>
          <w:sz w:val="24"/>
          <w:szCs w:val="24"/>
        </w:rPr>
        <w:t>What is the typical relationship among interest rates on three-month Treasury bills, long-term Treasury bonds, and Baa corporate bonds?</w:t>
      </w:r>
    </w:p>
    <w:p w14:paraId="094DEAFE" w14:textId="77777777" w:rsidR="00F71407" w:rsidRDefault="00F71407" w:rsidP="00F71407">
      <w:pPr>
        <w:pStyle w:val="Style1"/>
        <w:keepNext w:val="0"/>
        <w:keepLines w:val="0"/>
        <w:tabs>
          <w:tab w:val="clear" w:pos="270"/>
          <w:tab w:val="left" w:pos="420"/>
        </w:tabs>
        <w:spacing w:after="120"/>
        <w:ind w:left="360" w:firstLine="0"/>
        <w:rPr>
          <w:rFonts w:ascii="Times New Roman" w:hAnsi="Times New Roman"/>
          <w:sz w:val="24"/>
          <w:szCs w:val="24"/>
        </w:rPr>
      </w:pPr>
      <w:r>
        <w:rPr>
          <w:rFonts w:ascii="Times New Roman" w:hAnsi="Times New Roman"/>
          <w:spacing w:val="-2"/>
          <w:sz w:val="24"/>
          <w:szCs w:val="24"/>
        </w:rPr>
        <w:t>The interest rate on three-month Treasury bills fluctuates more than the other interest rates and is lower</w:t>
      </w:r>
      <w:r>
        <w:rPr>
          <w:rFonts w:ascii="Times New Roman" w:hAnsi="Times New Roman"/>
          <w:sz w:val="24"/>
          <w:szCs w:val="24"/>
        </w:rPr>
        <w:t xml:space="preserve"> on average. The interest rate on Baa corporate bonds is higher on average than the other interest rates.</w:t>
      </w:r>
    </w:p>
    <w:p w14:paraId="0D3CD63D" w14:textId="77777777" w:rsidR="00F71407" w:rsidRDefault="00F71407" w:rsidP="00F71407">
      <w:pPr>
        <w:pStyle w:val="Style1"/>
        <w:keepNext w:val="0"/>
        <w:keepLines w:val="0"/>
        <w:tabs>
          <w:tab w:val="clear" w:pos="270"/>
          <w:tab w:val="left" w:pos="420"/>
        </w:tabs>
        <w:spacing w:after="120"/>
        <w:ind w:left="360" w:firstLine="0"/>
        <w:rPr>
          <w:rFonts w:ascii="Times New Roman" w:hAnsi="Times New Roman"/>
          <w:sz w:val="24"/>
          <w:szCs w:val="24"/>
        </w:rPr>
      </w:pPr>
    </w:p>
    <w:p w14:paraId="71F38BF8"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What effect might a fall in stock prices have on business investment?</w:t>
      </w:r>
    </w:p>
    <w:p w14:paraId="274D9092"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lower price for a firm’s shares means that it can raise a smaller amount of funds, so investment in facilities and equipment will fall.</w:t>
      </w:r>
    </w:p>
    <w:p w14:paraId="65B00508"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2CBDF580"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What effect might a rise in stock prices have on consumers’ decisions to spend?</w:t>
      </w:r>
    </w:p>
    <w:p w14:paraId="0E7FF111"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Higher stock prices mean that consumers’ wealth is higher, and they will be more likely to increase their spending.</w:t>
      </w:r>
    </w:p>
    <w:p w14:paraId="5D4FCA2D"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590C189B"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Why are financial markets important to the health of the economy?</w:t>
      </w:r>
    </w:p>
    <w:p w14:paraId="4018E09A"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They channel funds from people who do not have a productive use for them to people who do, thereby resulting in higher economic efficiency.</w:t>
      </w:r>
    </w:p>
    <w:p w14:paraId="156D5C2C"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1F75D0DD"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What was the main cause of the recession that began in 2007?</w:t>
      </w:r>
    </w:p>
    <w:p w14:paraId="05DA6FB4"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 xml:space="preserve">The United States economy was hit by the worst financial crisis since the Great Depression. Defaults in subprime residential mortgages led to major losses in financial institutions, producing not only </w:t>
      </w:r>
      <w:r>
        <w:rPr>
          <w:rFonts w:ascii="Times New Roman" w:hAnsi="Times New Roman"/>
          <w:spacing w:val="-2"/>
          <w:sz w:val="24"/>
          <w:szCs w:val="24"/>
        </w:rPr>
        <w:t>numerous bank failures, but also the demise of two of the largest investment banks in the United States</w:t>
      </w:r>
      <w:r>
        <w:rPr>
          <w:rFonts w:ascii="Times New Roman" w:hAnsi="Times New Roman"/>
          <w:sz w:val="24"/>
          <w:szCs w:val="24"/>
        </w:rPr>
        <w:t>. These factors led to the “Great Recession” which began late in 2007.</w:t>
      </w:r>
    </w:p>
    <w:p w14:paraId="27FBEF75"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071E35A5"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What is the basic activity of banks?</w:t>
      </w:r>
    </w:p>
    <w:p w14:paraId="2CFCC220"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basic activity of banks is to accept deposits and make loans.</w:t>
      </w:r>
    </w:p>
    <w:p w14:paraId="77B00E87"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382A4721"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What are the other important financial intermediaries in the economy, besides banks?</w:t>
      </w:r>
    </w:p>
    <w:p w14:paraId="48F7A104"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Savings and loan associations, mutual savings banks, credit unions, insurance companies, mutual funds, pension funds, and finance companies.</w:t>
      </w:r>
    </w:p>
    <w:p w14:paraId="5EE90319"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napToGrid w:val="0"/>
          <w:sz w:val="24"/>
          <w:szCs w:val="24"/>
        </w:rPr>
        <w:br w:type="page"/>
      </w:r>
    </w:p>
    <w:p w14:paraId="2C28BE75"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lastRenderedPageBreak/>
        <w:t>Can you think of any financial innovation in the past ten years that has affected you personally? Has it made you better off or worse off? Why?</w:t>
      </w:r>
    </w:p>
    <w:p w14:paraId="321F6951"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Answers will vary.</w:t>
      </w:r>
    </w:p>
    <w:p w14:paraId="7A1827F5"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0BC1D28D"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Has the inflation rate in the United States increased or decreased in the past few years? What about interest rates?</w:t>
      </w:r>
    </w:p>
    <w:p w14:paraId="25B7181B"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In the period from 2007 to 2011, both inflation and interest rates have generally trended downward compared to before that period.</w:t>
      </w:r>
    </w:p>
    <w:p w14:paraId="7C249614"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229E680A"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 xml:space="preserve">If history repeats itself and we see a decline in the rate of money growth, what might you expect to happen to </w:t>
      </w:r>
    </w:p>
    <w:p w14:paraId="320A1B54" w14:textId="77777777" w:rsidR="00F71407" w:rsidRDefault="00F71407" w:rsidP="00F71407">
      <w:pPr>
        <w:pStyle w:val="Style2"/>
        <w:keepNext w:val="0"/>
        <w:keepLines w:val="0"/>
        <w:numPr>
          <w:ilvl w:val="1"/>
          <w:numId w:val="1"/>
        </w:numPr>
        <w:tabs>
          <w:tab w:val="clear" w:pos="270"/>
          <w:tab w:val="left" w:pos="420"/>
        </w:tabs>
        <w:spacing w:before="0" w:after="120"/>
        <w:ind w:left="720"/>
        <w:rPr>
          <w:rFonts w:ascii="Times New Roman" w:hAnsi="Times New Roman"/>
          <w:i/>
          <w:sz w:val="24"/>
          <w:szCs w:val="24"/>
        </w:rPr>
      </w:pPr>
      <w:r>
        <w:rPr>
          <w:rFonts w:ascii="Times New Roman" w:hAnsi="Times New Roman"/>
          <w:i/>
          <w:sz w:val="24"/>
          <w:szCs w:val="24"/>
        </w:rPr>
        <w:t>real output?</w:t>
      </w:r>
    </w:p>
    <w:p w14:paraId="48C73B3C" w14:textId="77777777" w:rsidR="00F71407" w:rsidRDefault="00F71407" w:rsidP="00F71407">
      <w:pPr>
        <w:pStyle w:val="Style2"/>
        <w:keepNext w:val="0"/>
        <w:keepLines w:val="0"/>
        <w:numPr>
          <w:ilvl w:val="1"/>
          <w:numId w:val="1"/>
        </w:numPr>
        <w:tabs>
          <w:tab w:val="clear" w:pos="270"/>
          <w:tab w:val="left" w:pos="420"/>
        </w:tabs>
        <w:spacing w:before="0" w:after="120"/>
        <w:ind w:left="720"/>
        <w:rPr>
          <w:rFonts w:ascii="Times New Roman" w:hAnsi="Times New Roman"/>
          <w:i/>
          <w:sz w:val="24"/>
          <w:szCs w:val="24"/>
        </w:rPr>
      </w:pPr>
      <w:r>
        <w:rPr>
          <w:rFonts w:ascii="Times New Roman" w:hAnsi="Times New Roman"/>
          <w:i/>
          <w:sz w:val="24"/>
          <w:szCs w:val="24"/>
        </w:rPr>
        <w:t>the inflation rate?</w:t>
      </w:r>
    </w:p>
    <w:p w14:paraId="1E383ED9" w14:textId="77777777" w:rsidR="00F71407" w:rsidRDefault="00F71407" w:rsidP="00F71407">
      <w:pPr>
        <w:pStyle w:val="Style2"/>
        <w:keepNext w:val="0"/>
        <w:keepLines w:val="0"/>
        <w:numPr>
          <w:ilvl w:val="1"/>
          <w:numId w:val="1"/>
        </w:numPr>
        <w:tabs>
          <w:tab w:val="clear" w:pos="270"/>
          <w:tab w:val="left" w:pos="420"/>
        </w:tabs>
        <w:spacing w:before="0" w:after="120"/>
        <w:ind w:left="720"/>
        <w:rPr>
          <w:rFonts w:ascii="Times New Roman" w:hAnsi="Times New Roman"/>
          <w:i/>
          <w:sz w:val="24"/>
          <w:szCs w:val="24"/>
        </w:rPr>
      </w:pPr>
      <w:r>
        <w:rPr>
          <w:rFonts w:ascii="Times New Roman" w:hAnsi="Times New Roman"/>
          <w:i/>
          <w:sz w:val="24"/>
          <w:szCs w:val="24"/>
        </w:rPr>
        <w:t>interest rates?</w:t>
      </w:r>
    </w:p>
    <w:p w14:paraId="6ECFBA56"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data in Figures 3, 5, and 6 suggest that real output, the inflation rate, and interest rates would all fall.</w:t>
      </w:r>
    </w:p>
    <w:p w14:paraId="322C553A"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69CE5FC5"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When interest rates decrease, how might businesses and consumers change their economic behavior?</w:t>
      </w:r>
    </w:p>
    <w:p w14:paraId="2D3CF045"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Businesses would increase investment spending because the cost of financing this spending is now lower, and consumers would be more likely to purchase a house or a car because the cost of financing their purchase is lower.</w:t>
      </w:r>
    </w:p>
    <w:p w14:paraId="15DA4988" w14:textId="77777777" w:rsidR="00F71407" w:rsidRDefault="00F71407" w:rsidP="00F71407">
      <w:pPr>
        <w:spacing w:after="120"/>
        <w:rPr>
          <w:snapToGrid w:val="0"/>
          <w:sz w:val="24"/>
          <w:szCs w:val="24"/>
        </w:rPr>
      </w:pPr>
    </w:p>
    <w:p w14:paraId="72439E4D"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Is everybody worse off when interest rates rise?</w:t>
      </w:r>
    </w:p>
    <w:p w14:paraId="271CDD25"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No. It is true that people who borrow to purchase a house or a car are worse off because it costs them more to finance their purchase; however, savers benefit because they can earn higher interest rates on their savings.</w:t>
      </w:r>
    </w:p>
    <w:p w14:paraId="195CA0F2"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119728DA"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Why do managers of financial institutions care so much about the activities of the Federal Reserve System?</w:t>
      </w:r>
    </w:p>
    <w:p w14:paraId="6F06EADD"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Because the Federal Reserve affects interest rates, inflation, and business cycles, all of which have an important impact on the profitability of financial institutions.</w:t>
      </w:r>
    </w:p>
    <w:p w14:paraId="776D1EE9"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3047CFF3"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How does the current size of the U.S. budget deficit compare to the historical budget deficit or surplus for the time period since 1950?</w:t>
      </w:r>
    </w:p>
    <w:p w14:paraId="4E016821"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deficit as a percentage of GDP has expanded dramatically since 2007; in 2010 the deficit to GDP ratio was 10%, well above the historical average of around 2% since 1950.</w:t>
      </w:r>
    </w:p>
    <w:p w14:paraId="2704A570"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How would a fall in the value of the pound sterling affect British consumers?</w:t>
      </w:r>
    </w:p>
    <w:p w14:paraId="784B7F4B"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lastRenderedPageBreak/>
        <w:t xml:space="preserve">It makes foreign goods more expensive, so British consumers will buy fewer foreign goods and more domestic goods. </w:t>
      </w:r>
    </w:p>
    <w:p w14:paraId="035F56A3" w14:textId="77777777" w:rsidR="00F71407" w:rsidRDefault="00F71407" w:rsidP="00F71407">
      <w:pPr>
        <w:pStyle w:val="Style2"/>
        <w:keepNext w:val="0"/>
        <w:keepLines w:val="0"/>
        <w:tabs>
          <w:tab w:val="clear" w:pos="270"/>
          <w:tab w:val="left" w:pos="420"/>
        </w:tabs>
        <w:spacing w:before="0" w:after="120"/>
        <w:ind w:left="0" w:firstLine="0"/>
        <w:rPr>
          <w:rFonts w:ascii="Times New Roman" w:hAnsi="Times New Roman"/>
          <w:i/>
          <w:sz w:val="24"/>
          <w:szCs w:val="24"/>
        </w:rPr>
      </w:pPr>
    </w:p>
    <w:p w14:paraId="7B8B5E63"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How would an increase in the value of the Japanese yen affect American businesses?</w:t>
      </w:r>
    </w:p>
    <w:p w14:paraId="2CB0FE7E"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It makes Japanese goods more expensive relative to American goods. Thus, because they will find it easier to sell them in America and abroad, American businesses will see an increase in demand for their goods in the United States.</w:t>
      </w:r>
    </w:p>
    <w:p w14:paraId="1D1FEB70"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6C97DBFC"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How can changes in foreign exchange rates affect the profitability of financial institutions?</w:t>
      </w:r>
    </w:p>
    <w:p w14:paraId="18DF4A83"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 xml:space="preserve">Changes in foreign exchange rates change the value of assets held by financial institutions and thus </w:t>
      </w:r>
      <w:r>
        <w:rPr>
          <w:rFonts w:ascii="Times New Roman" w:hAnsi="Times New Roman"/>
          <w:spacing w:val="-2"/>
          <w:sz w:val="24"/>
          <w:szCs w:val="24"/>
        </w:rPr>
        <w:t>lead to gains and losses on these assets. Also changes in foreign exchange rates affect the profits made</w:t>
      </w:r>
      <w:r>
        <w:rPr>
          <w:rFonts w:ascii="Times New Roman" w:hAnsi="Times New Roman"/>
          <w:sz w:val="24"/>
          <w:szCs w:val="24"/>
        </w:rPr>
        <w:t xml:space="preserve"> by traders in foreign exchange who work for financial institutions.</w:t>
      </w:r>
    </w:p>
    <w:p w14:paraId="493A2FB9"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5845A585"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pacing w:val="-2"/>
          <w:sz w:val="24"/>
          <w:szCs w:val="24"/>
        </w:rPr>
        <w:t>According to Figure 8, in which years would you have chosen to visit the Grand Canyon in Arizona rather than the Tower of London?</w:t>
      </w:r>
    </w:p>
    <w:p w14:paraId="02EBCCF1"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pacing w:val="-2"/>
          <w:sz w:val="24"/>
          <w:szCs w:val="24"/>
        </w:rPr>
        <w:t>In the mid- to late 1970s and in the late 1980s and early 1990s, the value of the dollar was low, making</w:t>
      </w:r>
      <w:r>
        <w:rPr>
          <w:rFonts w:ascii="Times New Roman" w:hAnsi="Times New Roman"/>
          <w:sz w:val="24"/>
          <w:szCs w:val="24"/>
        </w:rPr>
        <w:t xml:space="preserve"> travel abroad relatively more expensive; thus it was a good time to vacation in the United States and see the Grand Canyon. With the rise in the dollar’s value in the early 1980s, travel abroad became relatively cheaper, making it a good time to visit the Tower of London. This was also true, to a lesser extent, in the early 2000s.</w:t>
      </w:r>
    </w:p>
    <w:p w14:paraId="2B21E310"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4E10A86B"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When the dollar is worth more in relation to currencies of other countries, are you more likely to buy American-made or foreign-made jeans? Are U.S. companies that</w:t>
      </w:r>
      <w:r>
        <w:rPr>
          <w:rFonts w:ascii="Times New Roman" w:hAnsi="Times New Roman"/>
          <w:i/>
          <w:color w:val="231F20"/>
          <w:spacing w:val="-2"/>
          <w:sz w:val="24"/>
          <w:szCs w:val="24"/>
        </w:rPr>
        <w:t xml:space="preserve"> </w:t>
      </w:r>
      <w:r>
        <w:rPr>
          <w:rFonts w:ascii="Times New Roman" w:hAnsi="Times New Roman"/>
          <w:i/>
          <w:sz w:val="24"/>
          <w:szCs w:val="24"/>
        </w:rPr>
        <w:t>manufacture jeans happier when the dollar is strong or when it is weak? What about an American company that is in the business of importing jeans into the United States?</w:t>
      </w:r>
    </w:p>
    <w:p w14:paraId="7019E5E9"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When the dollar increases in value, foreign goods become less expensive relative to American goods; thus you are more likely to buy French-made jeans than American-made jeans. The resulting drop in demand for American-made jeans because of the strong dollar hurts American jeans manufacturers. On the other hand, the American company that imports jeans into the United States now finds that the demand for its product has risen, so it is better off when the dollar is strong.</w:t>
      </w:r>
      <w:r>
        <w:rPr>
          <w:rFonts w:ascii="Times New Roman" w:hAnsi="Times New Roman"/>
          <w:sz w:val="24"/>
          <w:szCs w:val="24"/>
        </w:rPr>
        <w:br w:type="page"/>
      </w:r>
    </w:p>
    <w:p w14:paraId="2C962211"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lastRenderedPageBreak/>
        <w:t>Much of the U.S. government debt is held by foreign investors as treasury bonds and bills. How do fluctuations in the dollar exchange rate affect the value of that debt held by foreigners?</w:t>
      </w:r>
    </w:p>
    <w:p w14:paraId="16A5BAEC"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 xml:space="preserve">As the dollar becomes stronger (worth more) relative to a foreign currency, one dollar is equivalent to </w:t>
      </w:r>
      <w:r>
        <w:rPr>
          <w:rFonts w:ascii="Times New Roman" w:hAnsi="Times New Roman"/>
          <w:spacing w:val="-2"/>
          <w:sz w:val="24"/>
          <w:szCs w:val="24"/>
        </w:rPr>
        <w:t>(can be exchanged for) more foreign currency. Thus, for a given face value of bond holdings, a stronger</w:t>
      </w:r>
      <w:r>
        <w:rPr>
          <w:rFonts w:ascii="Times New Roman" w:hAnsi="Times New Roman"/>
          <w:sz w:val="24"/>
          <w:szCs w:val="24"/>
        </w:rPr>
        <w:t xml:space="preserve"> </w:t>
      </w:r>
      <w:r>
        <w:rPr>
          <w:rFonts w:ascii="Times New Roman" w:hAnsi="Times New Roman"/>
          <w:spacing w:val="-2"/>
          <w:sz w:val="24"/>
          <w:szCs w:val="24"/>
        </w:rPr>
        <w:t>dollar will yield more home currency to foreigners, so the asset will be worth more to foreign investors</w:t>
      </w:r>
      <w:r>
        <w:rPr>
          <w:rFonts w:ascii="Times New Roman" w:hAnsi="Times New Roman"/>
          <w:sz w:val="24"/>
          <w:szCs w:val="24"/>
        </w:rPr>
        <w:t>. Likewise, a weak dollar will lead to foreign bond holdings worth less to foreigners.</w:t>
      </w:r>
    </w:p>
    <w:p w14:paraId="6F00B3EB"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09032374" w14:textId="77777777" w:rsidR="00F71407" w:rsidRDefault="00F71407" w:rsidP="00F71407">
      <w:pPr>
        <w:pStyle w:val="H1"/>
        <w:widowControl w:val="0"/>
        <w:tabs>
          <w:tab w:val="clear" w:pos="0"/>
          <w:tab w:val="left" w:pos="420"/>
        </w:tabs>
        <w:suppressAutoHyphens w:val="0"/>
        <w:spacing w:after="120"/>
        <w:rPr>
          <w:rFonts w:ascii="Times New Roman" w:hAnsi="Times New Roman"/>
          <w:sz w:val="24"/>
          <w:szCs w:val="24"/>
        </w:rPr>
      </w:pPr>
      <w:r>
        <w:rPr>
          <w:rFonts w:ascii="Times New Roman" w:hAnsi="Times New Roman"/>
          <w:sz w:val="24"/>
          <w:szCs w:val="24"/>
        </w:rPr>
        <w:t>ANSWERS TO APPLIED PROBLEMS</w:t>
      </w:r>
    </w:p>
    <w:p w14:paraId="5873CDF7" w14:textId="77777777" w:rsidR="00F71407" w:rsidRDefault="00F71407" w:rsidP="00F71407">
      <w:pPr>
        <w:pStyle w:val="H1"/>
        <w:widowControl w:val="0"/>
        <w:tabs>
          <w:tab w:val="clear" w:pos="0"/>
          <w:tab w:val="left" w:pos="420"/>
        </w:tabs>
        <w:suppressAutoHyphens w:val="0"/>
        <w:spacing w:after="120"/>
        <w:rPr>
          <w:rFonts w:ascii="Times New Roman" w:hAnsi="Times New Roman"/>
          <w:sz w:val="24"/>
          <w:szCs w:val="24"/>
        </w:rPr>
      </w:pPr>
    </w:p>
    <w:p w14:paraId="6DB158BD" w14:textId="77777777" w:rsidR="00F71407" w:rsidRDefault="00F71407" w:rsidP="00F71407">
      <w:pPr>
        <w:pStyle w:val="Style2"/>
        <w:keepNext w:val="0"/>
        <w:keepLines w:val="0"/>
        <w:numPr>
          <w:ilvl w:val="0"/>
          <w:numId w:val="1"/>
        </w:numPr>
        <w:tabs>
          <w:tab w:val="clear" w:pos="270"/>
          <w:tab w:val="left" w:pos="420"/>
        </w:tabs>
        <w:spacing w:before="0" w:after="120"/>
        <w:rPr>
          <w:rFonts w:ascii="Times New Roman" w:hAnsi="Times New Roman"/>
          <w:i/>
          <w:sz w:val="24"/>
          <w:szCs w:val="24"/>
        </w:rPr>
      </w:pPr>
      <w:r>
        <w:rPr>
          <w:rFonts w:ascii="Times New Roman" w:hAnsi="Times New Roman"/>
          <w:i/>
          <w:sz w:val="24"/>
          <w:szCs w:val="24"/>
        </w:rPr>
        <w:t>The following table lists foreign exchange rates between U.S. dollars and British pounds (GBP) during April. Which day would have been the best for converting $250 into British pounds? Which day would have been the worst? What would be the difference in pounds?</w:t>
      </w:r>
    </w:p>
    <w:tbl>
      <w:tblPr>
        <w:tblStyle w:val="a8"/>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520"/>
      </w:tblGrid>
      <w:tr w:rsidR="00F71407" w14:paraId="1843F235" w14:textId="77777777">
        <w:trPr>
          <w:jc w:val="center"/>
        </w:trPr>
        <w:tc>
          <w:tcPr>
            <w:tcW w:w="1458" w:type="dxa"/>
            <w:hideMark/>
          </w:tcPr>
          <w:p w14:paraId="47A64CF6" w14:textId="77777777" w:rsidR="00F71407" w:rsidRDefault="00F71407">
            <w:pPr>
              <w:autoSpaceDE w:val="0"/>
              <w:autoSpaceDN w:val="0"/>
              <w:adjustRightInd w:val="0"/>
              <w:jc w:val="center"/>
              <w:rPr>
                <w:rFonts w:asciiTheme="minorHAnsi" w:hAnsiTheme="minorHAnsi"/>
                <w:b/>
                <w:iCs/>
                <w:color w:val="252626"/>
                <w:sz w:val="24"/>
                <w:szCs w:val="24"/>
              </w:rPr>
            </w:pPr>
            <w:r>
              <w:rPr>
                <w:b/>
                <w:iCs/>
                <w:color w:val="252626"/>
                <w:sz w:val="24"/>
                <w:szCs w:val="24"/>
              </w:rPr>
              <w:t>Date</w:t>
            </w:r>
          </w:p>
        </w:tc>
        <w:tc>
          <w:tcPr>
            <w:tcW w:w="2520" w:type="dxa"/>
            <w:hideMark/>
          </w:tcPr>
          <w:p w14:paraId="51E34E69" w14:textId="77777777" w:rsidR="00F71407" w:rsidRDefault="00F71407">
            <w:pPr>
              <w:autoSpaceDE w:val="0"/>
              <w:autoSpaceDN w:val="0"/>
              <w:adjustRightInd w:val="0"/>
              <w:jc w:val="center"/>
              <w:rPr>
                <w:b/>
                <w:iCs/>
                <w:color w:val="252626"/>
                <w:sz w:val="24"/>
                <w:szCs w:val="24"/>
              </w:rPr>
            </w:pPr>
            <w:r>
              <w:rPr>
                <w:b/>
                <w:iCs/>
                <w:color w:val="252626"/>
                <w:sz w:val="24"/>
                <w:szCs w:val="24"/>
              </w:rPr>
              <w:t>U.S. Dollars per GBP</w:t>
            </w:r>
          </w:p>
        </w:tc>
      </w:tr>
      <w:tr w:rsidR="00F71407" w14:paraId="424FB85B" w14:textId="77777777">
        <w:trPr>
          <w:jc w:val="center"/>
        </w:trPr>
        <w:tc>
          <w:tcPr>
            <w:tcW w:w="1458" w:type="dxa"/>
            <w:hideMark/>
          </w:tcPr>
          <w:p w14:paraId="01AF897D" w14:textId="77777777" w:rsidR="00F71407" w:rsidRDefault="00F71407">
            <w:pPr>
              <w:autoSpaceDE w:val="0"/>
              <w:autoSpaceDN w:val="0"/>
              <w:adjustRightInd w:val="0"/>
              <w:rPr>
                <w:color w:val="39393A"/>
                <w:sz w:val="24"/>
                <w:szCs w:val="24"/>
              </w:rPr>
            </w:pPr>
            <w:r>
              <w:rPr>
                <w:color w:val="262627"/>
                <w:sz w:val="24"/>
                <w:szCs w:val="24"/>
              </w:rPr>
              <w:t>4</w:t>
            </w:r>
            <w:r>
              <w:rPr>
                <w:color w:val="838383"/>
                <w:sz w:val="24"/>
                <w:szCs w:val="24"/>
              </w:rPr>
              <w:t>/</w:t>
            </w:r>
            <w:r>
              <w:rPr>
                <w:color w:val="262627"/>
                <w:sz w:val="24"/>
                <w:szCs w:val="24"/>
              </w:rPr>
              <w:t xml:space="preserve">1 </w:t>
            </w:r>
          </w:p>
        </w:tc>
        <w:tc>
          <w:tcPr>
            <w:tcW w:w="2520" w:type="dxa"/>
            <w:hideMark/>
          </w:tcPr>
          <w:p w14:paraId="463A36A8" w14:textId="77777777" w:rsidR="00F71407" w:rsidRDefault="00F71407">
            <w:pPr>
              <w:autoSpaceDE w:val="0"/>
              <w:autoSpaceDN w:val="0"/>
              <w:adjustRightInd w:val="0"/>
              <w:jc w:val="center"/>
              <w:rPr>
                <w:iCs/>
                <w:color w:val="252626"/>
                <w:sz w:val="24"/>
                <w:szCs w:val="24"/>
              </w:rPr>
            </w:pPr>
            <w:r>
              <w:rPr>
                <w:color w:val="141414"/>
                <w:sz w:val="24"/>
                <w:szCs w:val="24"/>
              </w:rPr>
              <w:t>1</w:t>
            </w:r>
            <w:r>
              <w:rPr>
                <w:color w:val="39393A"/>
                <w:sz w:val="24"/>
                <w:szCs w:val="24"/>
              </w:rPr>
              <w:t>.9474</w:t>
            </w:r>
          </w:p>
        </w:tc>
      </w:tr>
      <w:tr w:rsidR="00F71407" w14:paraId="4A491D1C" w14:textId="77777777">
        <w:trPr>
          <w:jc w:val="center"/>
        </w:trPr>
        <w:tc>
          <w:tcPr>
            <w:tcW w:w="1458" w:type="dxa"/>
            <w:hideMark/>
          </w:tcPr>
          <w:p w14:paraId="07604611" w14:textId="77777777" w:rsidR="00F71407" w:rsidRDefault="00F71407">
            <w:pPr>
              <w:autoSpaceDE w:val="0"/>
              <w:autoSpaceDN w:val="0"/>
              <w:adjustRightInd w:val="0"/>
              <w:rPr>
                <w:color w:val="262627"/>
                <w:sz w:val="24"/>
                <w:szCs w:val="24"/>
              </w:rPr>
            </w:pPr>
            <w:r>
              <w:rPr>
                <w:color w:val="262627"/>
                <w:sz w:val="24"/>
                <w:szCs w:val="24"/>
              </w:rPr>
              <w:t>4</w:t>
            </w:r>
            <w:r>
              <w:rPr>
                <w:color w:val="838383"/>
                <w:sz w:val="24"/>
                <w:szCs w:val="24"/>
              </w:rPr>
              <w:t>/</w:t>
            </w:r>
            <w:r>
              <w:rPr>
                <w:color w:val="262627"/>
                <w:sz w:val="24"/>
                <w:szCs w:val="24"/>
              </w:rPr>
              <w:t xml:space="preserve">4 </w:t>
            </w:r>
          </w:p>
        </w:tc>
        <w:tc>
          <w:tcPr>
            <w:tcW w:w="2520" w:type="dxa"/>
            <w:hideMark/>
          </w:tcPr>
          <w:p w14:paraId="136CA6D6" w14:textId="77777777" w:rsidR="00F71407" w:rsidRDefault="00F71407">
            <w:pPr>
              <w:autoSpaceDE w:val="0"/>
              <w:autoSpaceDN w:val="0"/>
              <w:adjustRightInd w:val="0"/>
              <w:jc w:val="center"/>
              <w:rPr>
                <w:iCs/>
                <w:color w:val="252626"/>
                <w:sz w:val="24"/>
                <w:szCs w:val="24"/>
              </w:rPr>
            </w:pPr>
            <w:r>
              <w:rPr>
                <w:color w:val="141414"/>
                <w:sz w:val="24"/>
                <w:szCs w:val="24"/>
              </w:rPr>
              <w:t>1</w:t>
            </w:r>
            <w:r>
              <w:rPr>
                <w:color w:val="494C4C"/>
                <w:sz w:val="24"/>
                <w:szCs w:val="24"/>
              </w:rPr>
              <w:t>.92</w:t>
            </w:r>
            <w:r>
              <w:rPr>
                <w:color w:val="262627"/>
                <w:sz w:val="24"/>
                <w:szCs w:val="24"/>
              </w:rPr>
              <w:t>03</w:t>
            </w:r>
          </w:p>
        </w:tc>
      </w:tr>
      <w:tr w:rsidR="00F71407" w14:paraId="0B1FB68A" w14:textId="77777777">
        <w:trPr>
          <w:jc w:val="center"/>
        </w:trPr>
        <w:tc>
          <w:tcPr>
            <w:tcW w:w="1458" w:type="dxa"/>
            <w:hideMark/>
          </w:tcPr>
          <w:p w14:paraId="71EE8BF1" w14:textId="77777777" w:rsidR="00F71407" w:rsidRDefault="00F71407">
            <w:pPr>
              <w:autoSpaceDE w:val="0"/>
              <w:autoSpaceDN w:val="0"/>
              <w:adjustRightInd w:val="0"/>
              <w:rPr>
                <w:color w:val="262627"/>
                <w:sz w:val="24"/>
                <w:szCs w:val="24"/>
              </w:rPr>
            </w:pPr>
            <w:r>
              <w:rPr>
                <w:color w:val="262627"/>
                <w:sz w:val="24"/>
                <w:szCs w:val="24"/>
              </w:rPr>
              <w:t>4</w:t>
            </w:r>
            <w:r>
              <w:rPr>
                <w:color w:val="838383"/>
                <w:sz w:val="24"/>
                <w:szCs w:val="24"/>
              </w:rPr>
              <w:t>/</w:t>
            </w:r>
            <w:r>
              <w:rPr>
                <w:color w:val="262627"/>
                <w:sz w:val="24"/>
                <w:szCs w:val="24"/>
              </w:rPr>
              <w:t xml:space="preserve">5 </w:t>
            </w:r>
          </w:p>
        </w:tc>
        <w:tc>
          <w:tcPr>
            <w:tcW w:w="2520" w:type="dxa"/>
            <w:hideMark/>
          </w:tcPr>
          <w:p w14:paraId="677B9568" w14:textId="77777777" w:rsidR="00F71407" w:rsidRDefault="00F71407">
            <w:pPr>
              <w:autoSpaceDE w:val="0"/>
              <w:autoSpaceDN w:val="0"/>
              <w:adjustRightInd w:val="0"/>
              <w:jc w:val="center"/>
              <w:rPr>
                <w:iCs/>
                <w:color w:val="252626"/>
                <w:sz w:val="24"/>
                <w:szCs w:val="24"/>
              </w:rPr>
            </w:pPr>
            <w:r>
              <w:rPr>
                <w:color w:val="262627"/>
                <w:sz w:val="24"/>
                <w:szCs w:val="24"/>
              </w:rPr>
              <w:t>1</w:t>
            </w:r>
            <w:r>
              <w:rPr>
                <w:color w:val="494C4C"/>
                <w:sz w:val="24"/>
                <w:szCs w:val="24"/>
              </w:rPr>
              <w:t>.905</w:t>
            </w:r>
            <w:r>
              <w:rPr>
                <w:color w:val="262627"/>
                <w:sz w:val="24"/>
                <w:szCs w:val="24"/>
              </w:rPr>
              <w:t>0</w:t>
            </w:r>
          </w:p>
        </w:tc>
      </w:tr>
      <w:tr w:rsidR="00F71407" w14:paraId="62AACD4E" w14:textId="77777777">
        <w:trPr>
          <w:jc w:val="center"/>
        </w:trPr>
        <w:tc>
          <w:tcPr>
            <w:tcW w:w="1458" w:type="dxa"/>
            <w:hideMark/>
          </w:tcPr>
          <w:p w14:paraId="5AAA73FE" w14:textId="77777777" w:rsidR="00F71407" w:rsidRDefault="00F71407">
            <w:pPr>
              <w:autoSpaceDE w:val="0"/>
              <w:autoSpaceDN w:val="0"/>
              <w:adjustRightInd w:val="0"/>
              <w:rPr>
                <w:color w:val="262627"/>
                <w:sz w:val="24"/>
                <w:szCs w:val="24"/>
              </w:rPr>
            </w:pPr>
            <w:r>
              <w:rPr>
                <w:color w:val="262627"/>
                <w:sz w:val="24"/>
                <w:szCs w:val="24"/>
              </w:rPr>
              <w:t>4</w:t>
            </w:r>
            <w:r>
              <w:rPr>
                <w:color w:val="6C7374"/>
                <w:sz w:val="24"/>
                <w:szCs w:val="24"/>
              </w:rPr>
              <w:t>/</w:t>
            </w:r>
            <w:r>
              <w:rPr>
                <w:color w:val="39393A"/>
                <w:sz w:val="24"/>
                <w:szCs w:val="24"/>
              </w:rPr>
              <w:t xml:space="preserve">6 </w:t>
            </w:r>
          </w:p>
        </w:tc>
        <w:tc>
          <w:tcPr>
            <w:tcW w:w="2520" w:type="dxa"/>
            <w:hideMark/>
          </w:tcPr>
          <w:p w14:paraId="5830C963" w14:textId="77777777" w:rsidR="00F71407" w:rsidRDefault="00F71407">
            <w:pPr>
              <w:autoSpaceDE w:val="0"/>
              <w:autoSpaceDN w:val="0"/>
              <w:adjustRightInd w:val="0"/>
              <w:jc w:val="center"/>
              <w:rPr>
                <w:iCs/>
                <w:color w:val="252626"/>
                <w:sz w:val="24"/>
                <w:szCs w:val="24"/>
              </w:rPr>
            </w:pPr>
            <w:r>
              <w:rPr>
                <w:color w:val="141414"/>
                <w:sz w:val="24"/>
                <w:szCs w:val="24"/>
              </w:rPr>
              <w:t>1</w:t>
            </w:r>
            <w:r>
              <w:rPr>
                <w:color w:val="494C4C"/>
                <w:sz w:val="24"/>
                <w:szCs w:val="24"/>
              </w:rPr>
              <w:t>.928</w:t>
            </w:r>
            <w:r>
              <w:rPr>
                <w:color w:val="262627"/>
                <w:sz w:val="24"/>
                <w:szCs w:val="24"/>
              </w:rPr>
              <w:t>4</w:t>
            </w:r>
          </w:p>
        </w:tc>
      </w:tr>
      <w:tr w:rsidR="00F71407" w14:paraId="050825EF" w14:textId="77777777">
        <w:trPr>
          <w:jc w:val="center"/>
        </w:trPr>
        <w:tc>
          <w:tcPr>
            <w:tcW w:w="1458" w:type="dxa"/>
            <w:hideMark/>
          </w:tcPr>
          <w:p w14:paraId="4D930A38" w14:textId="77777777" w:rsidR="00F71407" w:rsidRDefault="00F71407">
            <w:pPr>
              <w:autoSpaceDE w:val="0"/>
              <w:autoSpaceDN w:val="0"/>
              <w:adjustRightInd w:val="0"/>
              <w:rPr>
                <w:color w:val="262627"/>
                <w:sz w:val="24"/>
                <w:szCs w:val="24"/>
              </w:rPr>
            </w:pPr>
            <w:r>
              <w:rPr>
                <w:color w:val="262627"/>
                <w:sz w:val="24"/>
                <w:szCs w:val="24"/>
              </w:rPr>
              <w:t>4</w:t>
            </w:r>
            <w:r>
              <w:rPr>
                <w:color w:val="494C4C"/>
                <w:sz w:val="24"/>
                <w:szCs w:val="24"/>
              </w:rPr>
              <w:t xml:space="preserve">/7 </w:t>
            </w:r>
          </w:p>
        </w:tc>
        <w:tc>
          <w:tcPr>
            <w:tcW w:w="2520" w:type="dxa"/>
            <w:hideMark/>
          </w:tcPr>
          <w:p w14:paraId="1CFBDADE" w14:textId="77777777" w:rsidR="00F71407" w:rsidRDefault="00F71407">
            <w:pPr>
              <w:autoSpaceDE w:val="0"/>
              <w:autoSpaceDN w:val="0"/>
              <w:adjustRightInd w:val="0"/>
              <w:jc w:val="center"/>
              <w:rPr>
                <w:iCs/>
                <w:color w:val="252626"/>
                <w:sz w:val="24"/>
                <w:szCs w:val="24"/>
              </w:rPr>
            </w:pPr>
            <w:r>
              <w:rPr>
                <w:color w:val="000000"/>
                <w:sz w:val="24"/>
                <w:szCs w:val="24"/>
              </w:rPr>
              <w:t>1</w:t>
            </w:r>
            <w:r>
              <w:rPr>
                <w:color w:val="494C4C"/>
                <w:sz w:val="24"/>
                <w:szCs w:val="24"/>
              </w:rPr>
              <w:t>.952</w:t>
            </w:r>
            <w:r>
              <w:rPr>
                <w:color w:val="262627"/>
                <w:sz w:val="24"/>
                <w:szCs w:val="24"/>
              </w:rPr>
              <w:t>0</w:t>
            </w:r>
          </w:p>
        </w:tc>
      </w:tr>
      <w:tr w:rsidR="00F71407" w14:paraId="4FED82DF" w14:textId="77777777">
        <w:trPr>
          <w:jc w:val="center"/>
        </w:trPr>
        <w:tc>
          <w:tcPr>
            <w:tcW w:w="1458" w:type="dxa"/>
            <w:hideMark/>
          </w:tcPr>
          <w:p w14:paraId="24A3E68B" w14:textId="77777777" w:rsidR="00F71407" w:rsidRDefault="00F71407">
            <w:pPr>
              <w:autoSpaceDE w:val="0"/>
              <w:autoSpaceDN w:val="0"/>
              <w:adjustRightInd w:val="0"/>
              <w:rPr>
                <w:color w:val="39393A"/>
                <w:sz w:val="24"/>
                <w:szCs w:val="24"/>
              </w:rPr>
            </w:pPr>
            <w:r>
              <w:rPr>
                <w:color w:val="262627"/>
                <w:sz w:val="24"/>
                <w:szCs w:val="24"/>
              </w:rPr>
              <w:t>4</w:t>
            </w:r>
            <w:r>
              <w:rPr>
                <w:color w:val="6C7374"/>
                <w:sz w:val="24"/>
                <w:szCs w:val="24"/>
              </w:rPr>
              <w:t>/</w:t>
            </w:r>
            <w:r>
              <w:rPr>
                <w:color w:val="39393A"/>
                <w:sz w:val="24"/>
                <w:szCs w:val="24"/>
              </w:rPr>
              <w:t xml:space="preserve">8 </w:t>
            </w:r>
          </w:p>
        </w:tc>
        <w:tc>
          <w:tcPr>
            <w:tcW w:w="2520" w:type="dxa"/>
            <w:hideMark/>
          </w:tcPr>
          <w:p w14:paraId="3ED0161F" w14:textId="77777777" w:rsidR="00F71407" w:rsidRDefault="00F71407">
            <w:pPr>
              <w:autoSpaceDE w:val="0"/>
              <w:autoSpaceDN w:val="0"/>
              <w:adjustRightInd w:val="0"/>
              <w:jc w:val="center"/>
              <w:rPr>
                <w:iCs/>
                <w:color w:val="252626"/>
                <w:sz w:val="24"/>
                <w:szCs w:val="24"/>
              </w:rPr>
            </w:pPr>
            <w:r>
              <w:rPr>
                <w:color w:val="000000"/>
                <w:sz w:val="24"/>
                <w:szCs w:val="24"/>
              </w:rPr>
              <w:t>1</w:t>
            </w:r>
            <w:r>
              <w:rPr>
                <w:color w:val="39393A"/>
                <w:sz w:val="24"/>
                <w:szCs w:val="24"/>
              </w:rPr>
              <w:t>.8835</w:t>
            </w:r>
          </w:p>
        </w:tc>
      </w:tr>
      <w:tr w:rsidR="00F71407" w14:paraId="41EF1CB9" w14:textId="77777777">
        <w:trPr>
          <w:jc w:val="center"/>
        </w:trPr>
        <w:tc>
          <w:tcPr>
            <w:tcW w:w="1458" w:type="dxa"/>
            <w:hideMark/>
          </w:tcPr>
          <w:p w14:paraId="65C27628" w14:textId="77777777" w:rsidR="00F71407" w:rsidRDefault="00F71407">
            <w:pPr>
              <w:autoSpaceDE w:val="0"/>
              <w:autoSpaceDN w:val="0"/>
              <w:adjustRightInd w:val="0"/>
              <w:rPr>
                <w:color w:val="39393A"/>
                <w:sz w:val="24"/>
                <w:szCs w:val="24"/>
              </w:rPr>
            </w:pPr>
            <w:r>
              <w:rPr>
                <w:color w:val="141414"/>
                <w:sz w:val="24"/>
                <w:szCs w:val="24"/>
              </w:rPr>
              <w:t>4</w:t>
            </w:r>
            <w:r>
              <w:rPr>
                <w:color w:val="6C7374"/>
                <w:sz w:val="24"/>
                <w:szCs w:val="24"/>
              </w:rPr>
              <w:t xml:space="preserve">/ </w:t>
            </w:r>
            <w:r>
              <w:rPr>
                <w:color w:val="141414"/>
                <w:sz w:val="24"/>
                <w:szCs w:val="24"/>
              </w:rPr>
              <w:t xml:space="preserve">11 </w:t>
            </w:r>
          </w:p>
        </w:tc>
        <w:tc>
          <w:tcPr>
            <w:tcW w:w="2520" w:type="dxa"/>
            <w:hideMark/>
          </w:tcPr>
          <w:p w14:paraId="703BD1DE" w14:textId="77777777" w:rsidR="00F71407" w:rsidRDefault="00F71407">
            <w:pPr>
              <w:autoSpaceDE w:val="0"/>
              <w:autoSpaceDN w:val="0"/>
              <w:adjustRightInd w:val="0"/>
              <w:jc w:val="center"/>
              <w:rPr>
                <w:iCs/>
                <w:color w:val="252626"/>
                <w:sz w:val="24"/>
                <w:szCs w:val="24"/>
              </w:rPr>
            </w:pPr>
            <w:r>
              <w:rPr>
                <w:color w:val="141414"/>
                <w:sz w:val="24"/>
                <w:szCs w:val="24"/>
              </w:rPr>
              <w:t>1</w:t>
            </w:r>
            <w:r>
              <w:rPr>
                <w:color w:val="39393A"/>
                <w:sz w:val="24"/>
                <w:szCs w:val="24"/>
              </w:rPr>
              <w:t>.8732</w:t>
            </w:r>
          </w:p>
        </w:tc>
      </w:tr>
      <w:tr w:rsidR="00F71407" w14:paraId="19AF9592" w14:textId="77777777">
        <w:trPr>
          <w:jc w:val="center"/>
        </w:trPr>
        <w:tc>
          <w:tcPr>
            <w:tcW w:w="1458" w:type="dxa"/>
            <w:hideMark/>
          </w:tcPr>
          <w:p w14:paraId="0D2DAE6A" w14:textId="77777777" w:rsidR="00F71407" w:rsidRDefault="00F71407">
            <w:pPr>
              <w:autoSpaceDE w:val="0"/>
              <w:autoSpaceDN w:val="0"/>
              <w:adjustRightInd w:val="0"/>
              <w:rPr>
                <w:color w:val="262627"/>
                <w:sz w:val="24"/>
                <w:szCs w:val="24"/>
              </w:rPr>
            </w:pPr>
            <w:r>
              <w:rPr>
                <w:color w:val="262627"/>
                <w:sz w:val="24"/>
                <w:szCs w:val="24"/>
              </w:rPr>
              <w:t>4</w:t>
            </w:r>
            <w:r>
              <w:rPr>
                <w:color w:val="6C7374"/>
                <w:sz w:val="24"/>
                <w:szCs w:val="24"/>
              </w:rPr>
              <w:t xml:space="preserve">/ </w:t>
            </w:r>
            <w:r>
              <w:rPr>
                <w:color w:val="141414"/>
                <w:sz w:val="24"/>
                <w:szCs w:val="24"/>
              </w:rPr>
              <w:t>1</w:t>
            </w:r>
            <w:r>
              <w:rPr>
                <w:color w:val="39393A"/>
                <w:sz w:val="24"/>
                <w:szCs w:val="24"/>
              </w:rPr>
              <w:t xml:space="preserve">2 </w:t>
            </w:r>
          </w:p>
        </w:tc>
        <w:tc>
          <w:tcPr>
            <w:tcW w:w="2520" w:type="dxa"/>
            <w:hideMark/>
          </w:tcPr>
          <w:p w14:paraId="2C88DDBE" w14:textId="77777777" w:rsidR="00F71407" w:rsidRDefault="00F71407">
            <w:pPr>
              <w:autoSpaceDE w:val="0"/>
              <w:autoSpaceDN w:val="0"/>
              <w:adjustRightInd w:val="0"/>
              <w:jc w:val="center"/>
              <w:rPr>
                <w:iCs/>
                <w:color w:val="252626"/>
                <w:sz w:val="24"/>
                <w:szCs w:val="24"/>
              </w:rPr>
            </w:pPr>
            <w:r>
              <w:rPr>
                <w:color w:val="262627"/>
                <w:sz w:val="24"/>
                <w:szCs w:val="24"/>
              </w:rPr>
              <w:t>1.8468</w:t>
            </w:r>
          </w:p>
        </w:tc>
      </w:tr>
      <w:tr w:rsidR="00F71407" w14:paraId="467C9DE3" w14:textId="77777777">
        <w:trPr>
          <w:jc w:val="center"/>
        </w:trPr>
        <w:tc>
          <w:tcPr>
            <w:tcW w:w="1458" w:type="dxa"/>
            <w:hideMark/>
          </w:tcPr>
          <w:p w14:paraId="0009C9D3" w14:textId="77777777" w:rsidR="00F71407" w:rsidRDefault="00F71407">
            <w:pPr>
              <w:autoSpaceDE w:val="0"/>
              <w:autoSpaceDN w:val="0"/>
              <w:adjustRightInd w:val="0"/>
              <w:rPr>
                <w:color w:val="39393A"/>
                <w:sz w:val="24"/>
                <w:szCs w:val="24"/>
              </w:rPr>
            </w:pPr>
            <w:r>
              <w:rPr>
                <w:color w:val="262627"/>
                <w:sz w:val="24"/>
                <w:szCs w:val="24"/>
              </w:rPr>
              <w:t>4</w:t>
            </w:r>
            <w:r>
              <w:rPr>
                <w:color w:val="838383"/>
                <w:sz w:val="24"/>
                <w:szCs w:val="24"/>
              </w:rPr>
              <w:t xml:space="preserve">/ </w:t>
            </w:r>
            <w:r>
              <w:rPr>
                <w:color w:val="262627"/>
                <w:sz w:val="24"/>
                <w:szCs w:val="24"/>
              </w:rPr>
              <w:t xml:space="preserve">13 </w:t>
            </w:r>
          </w:p>
        </w:tc>
        <w:tc>
          <w:tcPr>
            <w:tcW w:w="2520" w:type="dxa"/>
            <w:hideMark/>
          </w:tcPr>
          <w:p w14:paraId="12905795" w14:textId="77777777" w:rsidR="00F71407" w:rsidRDefault="00F71407">
            <w:pPr>
              <w:autoSpaceDE w:val="0"/>
              <w:autoSpaceDN w:val="0"/>
              <w:adjustRightInd w:val="0"/>
              <w:jc w:val="center"/>
              <w:rPr>
                <w:iCs/>
                <w:color w:val="252626"/>
                <w:sz w:val="24"/>
                <w:szCs w:val="24"/>
              </w:rPr>
            </w:pPr>
            <w:r>
              <w:rPr>
                <w:color w:val="39393A"/>
                <w:sz w:val="24"/>
                <w:szCs w:val="24"/>
              </w:rPr>
              <w:t>1.7870</w:t>
            </w:r>
          </w:p>
        </w:tc>
      </w:tr>
      <w:tr w:rsidR="00F71407" w14:paraId="113EEE76" w14:textId="77777777">
        <w:trPr>
          <w:jc w:val="center"/>
        </w:trPr>
        <w:tc>
          <w:tcPr>
            <w:tcW w:w="1458" w:type="dxa"/>
            <w:hideMark/>
          </w:tcPr>
          <w:p w14:paraId="35C1DBC9" w14:textId="77777777" w:rsidR="00F71407" w:rsidRDefault="00F71407">
            <w:pPr>
              <w:autoSpaceDE w:val="0"/>
              <w:autoSpaceDN w:val="0"/>
              <w:adjustRightInd w:val="0"/>
              <w:rPr>
                <w:color w:val="39393A"/>
                <w:sz w:val="24"/>
                <w:szCs w:val="24"/>
              </w:rPr>
            </w:pPr>
            <w:r>
              <w:rPr>
                <w:color w:val="262627"/>
                <w:sz w:val="24"/>
                <w:szCs w:val="24"/>
              </w:rPr>
              <w:t xml:space="preserve">4/14 </w:t>
            </w:r>
          </w:p>
        </w:tc>
        <w:tc>
          <w:tcPr>
            <w:tcW w:w="2520" w:type="dxa"/>
            <w:hideMark/>
          </w:tcPr>
          <w:p w14:paraId="691978DF" w14:textId="77777777" w:rsidR="00F71407" w:rsidRDefault="00F71407">
            <w:pPr>
              <w:autoSpaceDE w:val="0"/>
              <w:autoSpaceDN w:val="0"/>
              <w:adjustRightInd w:val="0"/>
              <w:jc w:val="center"/>
              <w:rPr>
                <w:iCs/>
                <w:color w:val="252626"/>
                <w:sz w:val="24"/>
                <w:szCs w:val="24"/>
              </w:rPr>
            </w:pPr>
            <w:r>
              <w:rPr>
                <w:color w:val="262627"/>
                <w:sz w:val="24"/>
                <w:szCs w:val="24"/>
              </w:rPr>
              <w:t>1.78</w:t>
            </w:r>
            <w:r>
              <w:rPr>
                <w:color w:val="000000"/>
                <w:sz w:val="24"/>
                <w:szCs w:val="24"/>
              </w:rPr>
              <w:t>1</w:t>
            </w:r>
            <w:r>
              <w:rPr>
                <w:color w:val="39393A"/>
                <w:sz w:val="24"/>
                <w:szCs w:val="24"/>
              </w:rPr>
              <w:t>2</w:t>
            </w:r>
          </w:p>
        </w:tc>
      </w:tr>
      <w:tr w:rsidR="00F71407" w14:paraId="0FAD7B83" w14:textId="77777777">
        <w:trPr>
          <w:jc w:val="center"/>
        </w:trPr>
        <w:tc>
          <w:tcPr>
            <w:tcW w:w="1458" w:type="dxa"/>
            <w:hideMark/>
          </w:tcPr>
          <w:p w14:paraId="364EEA7A" w14:textId="77777777" w:rsidR="00F71407" w:rsidRDefault="00F71407">
            <w:pPr>
              <w:autoSpaceDE w:val="0"/>
              <w:autoSpaceDN w:val="0"/>
              <w:adjustRightInd w:val="0"/>
              <w:rPr>
                <w:color w:val="262627"/>
                <w:sz w:val="24"/>
                <w:szCs w:val="24"/>
              </w:rPr>
            </w:pPr>
            <w:r>
              <w:rPr>
                <w:color w:val="262627"/>
                <w:sz w:val="24"/>
                <w:szCs w:val="24"/>
              </w:rPr>
              <w:t>4</w:t>
            </w:r>
            <w:r>
              <w:rPr>
                <w:color w:val="838383"/>
                <w:sz w:val="24"/>
                <w:szCs w:val="24"/>
              </w:rPr>
              <w:t xml:space="preserve">/ </w:t>
            </w:r>
            <w:r>
              <w:rPr>
                <w:color w:val="141414"/>
                <w:sz w:val="24"/>
                <w:szCs w:val="24"/>
              </w:rPr>
              <w:t>1</w:t>
            </w:r>
            <w:r>
              <w:rPr>
                <w:color w:val="39393A"/>
                <w:sz w:val="24"/>
                <w:szCs w:val="24"/>
              </w:rPr>
              <w:t xml:space="preserve">5 </w:t>
            </w:r>
          </w:p>
        </w:tc>
        <w:tc>
          <w:tcPr>
            <w:tcW w:w="2520" w:type="dxa"/>
            <w:hideMark/>
          </w:tcPr>
          <w:p w14:paraId="0C861A59" w14:textId="77777777" w:rsidR="00F71407" w:rsidRDefault="00F71407">
            <w:pPr>
              <w:autoSpaceDE w:val="0"/>
              <w:autoSpaceDN w:val="0"/>
              <w:adjustRightInd w:val="0"/>
              <w:jc w:val="center"/>
              <w:rPr>
                <w:iCs/>
                <w:color w:val="252626"/>
                <w:sz w:val="24"/>
                <w:szCs w:val="24"/>
              </w:rPr>
            </w:pPr>
            <w:r>
              <w:rPr>
                <w:color w:val="262627"/>
                <w:sz w:val="24"/>
                <w:szCs w:val="24"/>
              </w:rPr>
              <w:t>1.7695</w:t>
            </w:r>
          </w:p>
        </w:tc>
      </w:tr>
      <w:tr w:rsidR="00F71407" w14:paraId="5FB61DD5" w14:textId="77777777">
        <w:trPr>
          <w:jc w:val="center"/>
        </w:trPr>
        <w:tc>
          <w:tcPr>
            <w:tcW w:w="1458" w:type="dxa"/>
            <w:hideMark/>
          </w:tcPr>
          <w:p w14:paraId="0D680664" w14:textId="77777777" w:rsidR="00F71407" w:rsidRDefault="00F71407">
            <w:pPr>
              <w:autoSpaceDE w:val="0"/>
              <w:autoSpaceDN w:val="0"/>
              <w:adjustRightInd w:val="0"/>
              <w:rPr>
                <w:color w:val="262627"/>
                <w:sz w:val="24"/>
                <w:szCs w:val="24"/>
              </w:rPr>
            </w:pPr>
            <w:r>
              <w:rPr>
                <w:color w:val="262627"/>
                <w:sz w:val="24"/>
                <w:szCs w:val="24"/>
              </w:rPr>
              <w:t>4</w:t>
            </w:r>
            <w:r>
              <w:rPr>
                <w:color w:val="838383"/>
                <w:sz w:val="24"/>
                <w:szCs w:val="24"/>
              </w:rPr>
              <w:t xml:space="preserve">/ </w:t>
            </w:r>
            <w:r>
              <w:rPr>
                <w:color w:val="141414"/>
                <w:sz w:val="24"/>
                <w:szCs w:val="24"/>
              </w:rPr>
              <w:t>1</w:t>
            </w:r>
            <w:r>
              <w:rPr>
                <w:color w:val="494C4C"/>
                <w:sz w:val="24"/>
                <w:szCs w:val="24"/>
              </w:rPr>
              <w:t xml:space="preserve">8 </w:t>
            </w:r>
          </w:p>
        </w:tc>
        <w:tc>
          <w:tcPr>
            <w:tcW w:w="2520" w:type="dxa"/>
            <w:hideMark/>
          </w:tcPr>
          <w:p w14:paraId="6AC9EDD6" w14:textId="77777777" w:rsidR="00F71407" w:rsidRDefault="00F71407">
            <w:pPr>
              <w:autoSpaceDE w:val="0"/>
              <w:autoSpaceDN w:val="0"/>
              <w:adjustRightInd w:val="0"/>
              <w:jc w:val="center"/>
              <w:rPr>
                <w:iCs/>
                <w:color w:val="252626"/>
                <w:sz w:val="24"/>
                <w:szCs w:val="24"/>
              </w:rPr>
            </w:pPr>
            <w:r>
              <w:rPr>
                <w:color w:val="141414"/>
                <w:sz w:val="24"/>
                <w:szCs w:val="24"/>
              </w:rPr>
              <w:t>1</w:t>
            </w:r>
            <w:r>
              <w:rPr>
                <w:color w:val="494C4C"/>
                <w:sz w:val="24"/>
                <w:szCs w:val="24"/>
              </w:rPr>
              <w:t>.7</w:t>
            </w:r>
            <w:r>
              <w:rPr>
                <w:color w:val="262627"/>
                <w:sz w:val="24"/>
                <w:szCs w:val="24"/>
              </w:rPr>
              <w:t>414</w:t>
            </w:r>
          </w:p>
        </w:tc>
      </w:tr>
      <w:tr w:rsidR="00F71407" w14:paraId="02944ED9" w14:textId="77777777">
        <w:trPr>
          <w:jc w:val="center"/>
        </w:trPr>
        <w:tc>
          <w:tcPr>
            <w:tcW w:w="1458" w:type="dxa"/>
            <w:hideMark/>
          </w:tcPr>
          <w:p w14:paraId="68A34E37" w14:textId="77777777" w:rsidR="00F71407" w:rsidRDefault="00F71407">
            <w:pPr>
              <w:autoSpaceDE w:val="0"/>
              <w:autoSpaceDN w:val="0"/>
              <w:adjustRightInd w:val="0"/>
              <w:rPr>
                <w:color w:val="39393A"/>
                <w:sz w:val="24"/>
                <w:szCs w:val="24"/>
              </w:rPr>
            </w:pPr>
            <w:r>
              <w:rPr>
                <w:color w:val="262627"/>
                <w:sz w:val="24"/>
                <w:szCs w:val="24"/>
              </w:rPr>
              <w:t>4</w:t>
            </w:r>
            <w:r>
              <w:rPr>
                <w:color w:val="838383"/>
                <w:sz w:val="24"/>
                <w:szCs w:val="24"/>
              </w:rPr>
              <w:t xml:space="preserve">/ </w:t>
            </w:r>
            <w:r>
              <w:rPr>
                <w:color w:val="141414"/>
                <w:sz w:val="24"/>
                <w:szCs w:val="24"/>
              </w:rPr>
              <w:t>1</w:t>
            </w:r>
            <w:r>
              <w:rPr>
                <w:color w:val="39393A"/>
                <w:sz w:val="24"/>
                <w:szCs w:val="24"/>
              </w:rPr>
              <w:t xml:space="preserve">9 </w:t>
            </w:r>
          </w:p>
        </w:tc>
        <w:tc>
          <w:tcPr>
            <w:tcW w:w="2520" w:type="dxa"/>
            <w:hideMark/>
          </w:tcPr>
          <w:p w14:paraId="5BFC8C04" w14:textId="77777777" w:rsidR="00F71407" w:rsidRDefault="00F71407">
            <w:pPr>
              <w:autoSpaceDE w:val="0"/>
              <w:autoSpaceDN w:val="0"/>
              <w:adjustRightInd w:val="0"/>
              <w:jc w:val="center"/>
              <w:rPr>
                <w:iCs/>
                <w:color w:val="252626"/>
                <w:sz w:val="24"/>
                <w:szCs w:val="24"/>
              </w:rPr>
            </w:pPr>
            <w:r>
              <w:rPr>
                <w:color w:val="141414"/>
                <w:sz w:val="24"/>
                <w:szCs w:val="24"/>
              </w:rPr>
              <w:t>1.</w:t>
            </w:r>
            <w:r>
              <w:rPr>
                <w:color w:val="39393A"/>
                <w:sz w:val="24"/>
                <w:szCs w:val="24"/>
              </w:rPr>
              <w:t>7</w:t>
            </w:r>
            <w:r>
              <w:rPr>
                <w:color w:val="141414"/>
                <w:sz w:val="24"/>
                <w:szCs w:val="24"/>
              </w:rPr>
              <w:t>1</w:t>
            </w:r>
            <w:r>
              <w:rPr>
                <w:color w:val="39393A"/>
                <w:sz w:val="24"/>
                <w:szCs w:val="24"/>
              </w:rPr>
              <w:t>65</w:t>
            </w:r>
          </w:p>
        </w:tc>
      </w:tr>
      <w:tr w:rsidR="00F71407" w14:paraId="0C0C95DB" w14:textId="77777777">
        <w:trPr>
          <w:jc w:val="center"/>
        </w:trPr>
        <w:tc>
          <w:tcPr>
            <w:tcW w:w="1458" w:type="dxa"/>
            <w:hideMark/>
          </w:tcPr>
          <w:p w14:paraId="0EA182B2" w14:textId="77777777" w:rsidR="00F71407" w:rsidRDefault="00F71407">
            <w:pPr>
              <w:autoSpaceDE w:val="0"/>
              <w:autoSpaceDN w:val="0"/>
              <w:adjustRightInd w:val="0"/>
              <w:rPr>
                <w:color w:val="494C4C"/>
                <w:sz w:val="24"/>
                <w:szCs w:val="24"/>
              </w:rPr>
            </w:pPr>
            <w:r>
              <w:rPr>
                <w:color w:val="262627"/>
                <w:sz w:val="24"/>
                <w:szCs w:val="24"/>
              </w:rPr>
              <w:t>4</w:t>
            </w:r>
            <w:r>
              <w:rPr>
                <w:color w:val="838383"/>
                <w:sz w:val="24"/>
                <w:szCs w:val="24"/>
              </w:rPr>
              <w:t>/</w:t>
            </w:r>
            <w:r>
              <w:rPr>
                <w:color w:val="39393A"/>
                <w:sz w:val="24"/>
                <w:szCs w:val="24"/>
              </w:rPr>
              <w:t xml:space="preserve">20 </w:t>
            </w:r>
          </w:p>
        </w:tc>
        <w:tc>
          <w:tcPr>
            <w:tcW w:w="2520" w:type="dxa"/>
            <w:hideMark/>
          </w:tcPr>
          <w:p w14:paraId="651FB26B" w14:textId="77777777" w:rsidR="00F71407" w:rsidRDefault="00F71407">
            <w:pPr>
              <w:autoSpaceDE w:val="0"/>
              <w:autoSpaceDN w:val="0"/>
              <w:adjustRightInd w:val="0"/>
              <w:jc w:val="center"/>
              <w:rPr>
                <w:iCs/>
                <w:color w:val="252626"/>
                <w:sz w:val="24"/>
                <w:szCs w:val="24"/>
              </w:rPr>
            </w:pPr>
            <w:r>
              <w:rPr>
                <w:color w:val="141414"/>
                <w:sz w:val="24"/>
                <w:szCs w:val="24"/>
              </w:rPr>
              <w:t>1</w:t>
            </w:r>
            <w:r>
              <w:rPr>
                <w:color w:val="494C4C"/>
                <w:sz w:val="24"/>
                <w:szCs w:val="24"/>
              </w:rPr>
              <w:t>.6824</w:t>
            </w:r>
          </w:p>
        </w:tc>
      </w:tr>
      <w:tr w:rsidR="00F71407" w14:paraId="74BA63E4" w14:textId="77777777">
        <w:trPr>
          <w:jc w:val="center"/>
        </w:trPr>
        <w:tc>
          <w:tcPr>
            <w:tcW w:w="1458" w:type="dxa"/>
            <w:hideMark/>
          </w:tcPr>
          <w:p w14:paraId="59DDA403" w14:textId="77777777" w:rsidR="00F71407" w:rsidRDefault="00F71407">
            <w:pPr>
              <w:autoSpaceDE w:val="0"/>
              <w:autoSpaceDN w:val="0"/>
              <w:adjustRightInd w:val="0"/>
              <w:rPr>
                <w:color w:val="39393A"/>
                <w:sz w:val="24"/>
                <w:szCs w:val="24"/>
              </w:rPr>
            </w:pPr>
            <w:r>
              <w:rPr>
                <w:color w:val="262627"/>
                <w:sz w:val="24"/>
                <w:szCs w:val="24"/>
              </w:rPr>
              <w:t>4</w:t>
            </w:r>
            <w:r>
              <w:rPr>
                <w:color w:val="838383"/>
                <w:sz w:val="24"/>
                <w:szCs w:val="24"/>
              </w:rPr>
              <w:t>/</w:t>
            </w:r>
            <w:r>
              <w:rPr>
                <w:color w:val="39393A"/>
                <w:sz w:val="24"/>
                <w:szCs w:val="24"/>
              </w:rPr>
              <w:t xml:space="preserve">21 </w:t>
            </w:r>
          </w:p>
        </w:tc>
        <w:tc>
          <w:tcPr>
            <w:tcW w:w="2520" w:type="dxa"/>
            <w:hideMark/>
          </w:tcPr>
          <w:p w14:paraId="26E9DC6F" w14:textId="77777777" w:rsidR="00F71407" w:rsidRDefault="00F71407">
            <w:pPr>
              <w:autoSpaceDE w:val="0"/>
              <w:autoSpaceDN w:val="0"/>
              <w:adjustRightInd w:val="0"/>
              <w:jc w:val="center"/>
              <w:rPr>
                <w:iCs/>
                <w:color w:val="252626"/>
                <w:sz w:val="24"/>
                <w:szCs w:val="24"/>
              </w:rPr>
            </w:pPr>
            <w:r>
              <w:rPr>
                <w:color w:val="000000"/>
                <w:sz w:val="24"/>
                <w:szCs w:val="24"/>
              </w:rPr>
              <w:t>1</w:t>
            </w:r>
            <w:r>
              <w:rPr>
                <w:color w:val="576465"/>
                <w:sz w:val="24"/>
                <w:szCs w:val="24"/>
              </w:rPr>
              <w:t>.</w:t>
            </w:r>
            <w:r>
              <w:rPr>
                <w:color w:val="39393A"/>
                <w:sz w:val="24"/>
                <w:szCs w:val="24"/>
              </w:rPr>
              <w:t>6630</w:t>
            </w:r>
          </w:p>
        </w:tc>
      </w:tr>
      <w:tr w:rsidR="00F71407" w14:paraId="55D518BC" w14:textId="77777777">
        <w:trPr>
          <w:jc w:val="center"/>
        </w:trPr>
        <w:tc>
          <w:tcPr>
            <w:tcW w:w="1458" w:type="dxa"/>
            <w:hideMark/>
          </w:tcPr>
          <w:p w14:paraId="2D970C4D" w14:textId="77777777" w:rsidR="00F71407" w:rsidRDefault="00F71407">
            <w:pPr>
              <w:autoSpaceDE w:val="0"/>
              <w:autoSpaceDN w:val="0"/>
              <w:adjustRightInd w:val="0"/>
              <w:rPr>
                <w:color w:val="494C4C"/>
                <w:sz w:val="24"/>
                <w:szCs w:val="24"/>
              </w:rPr>
            </w:pPr>
            <w:r>
              <w:rPr>
                <w:color w:val="262627"/>
                <w:sz w:val="24"/>
                <w:szCs w:val="24"/>
              </w:rPr>
              <w:t>4</w:t>
            </w:r>
            <w:r>
              <w:rPr>
                <w:color w:val="6C7374"/>
                <w:sz w:val="24"/>
                <w:szCs w:val="24"/>
              </w:rPr>
              <w:t>/</w:t>
            </w:r>
            <w:r>
              <w:rPr>
                <w:color w:val="39393A"/>
                <w:sz w:val="24"/>
                <w:szCs w:val="24"/>
              </w:rPr>
              <w:t xml:space="preserve">22 </w:t>
            </w:r>
          </w:p>
        </w:tc>
        <w:tc>
          <w:tcPr>
            <w:tcW w:w="2520" w:type="dxa"/>
            <w:hideMark/>
          </w:tcPr>
          <w:p w14:paraId="16BFC429" w14:textId="77777777" w:rsidR="00F71407" w:rsidRDefault="00F71407">
            <w:pPr>
              <w:autoSpaceDE w:val="0"/>
              <w:autoSpaceDN w:val="0"/>
              <w:adjustRightInd w:val="0"/>
              <w:jc w:val="center"/>
              <w:rPr>
                <w:iCs/>
                <w:color w:val="252626"/>
                <w:sz w:val="24"/>
                <w:szCs w:val="24"/>
              </w:rPr>
            </w:pPr>
            <w:r>
              <w:rPr>
                <w:color w:val="141414"/>
                <w:sz w:val="24"/>
                <w:szCs w:val="24"/>
              </w:rPr>
              <w:t>1</w:t>
            </w:r>
            <w:r>
              <w:rPr>
                <w:color w:val="494C4C"/>
                <w:sz w:val="24"/>
                <w:szCs w:val="24"/>
              </w:rPr>
              <w:t>.6594</w:t>
            </w:r>
          </w:p>
        </w:tc>
      </w:tr>
      <w:tr w:rsidR="00F71407" w14:paraId="3B7D6310" w14:textId="77777777">
        <w:trPr>
          <w:jc w:val="center"/>
        </w:trPr>
        <w:tc>
          <w:tcPr>
            <w:tcW w:w="1458" w:type="dxa"/>
            <w:hideMark/>
          </w:tcPr>
          <w:p w14:paraId="6B22B4D8" w14:textId="77777777" w:rsidR="00F71407" w:rsidRDefault="00F71407">
            <w:pPr>
              <w:autoSpaceDE w:val="0"/>
              <w:autoSpaceDN w:val="0"/>
              <w:adjustRightInd w:val="0"/>
              <w:rPr>
                <w:color w:val="262627"/>
                <w:sz w:val="24"/>
                <w:szCs w:val="24"/>
              </w:rPr>
            </w:pPr>
            <w:r>
              <w:rPr>
                <w:color w:val="262627"/>
                <w:sz w:val="24"/>
                <w:szCs w:val="24"/>
              </w:rPr>
              <w:t>4</w:t>
            </w:r>
            <w:r>
              <w:rPr>
                <w:color w:val="6C7374"/>
                <w:sz w:val="24"/>
                <w:szCs w:val="24"/>
              </w:rPr>
              <w:t>/</w:t>
            </w:r>
            <w:r>
              <w:rPr>
                <w:color w:val="39393A"/>
                <w:sz w:val="24"/>
                <w:szCs w:val="24"/>
              </w:rPr>
              <w:t xml:space="preserve">25 </w:t>
            </w:r>
          </w:p>
        </w:tc>
        <w:tc>
          <w:tcPr>
            <w:tcW w:w="2520" w:type="dxa"/>
            <w:hideMark/>
          </w:tcPr>
          <w:p w14:paraId="2D80A66D" w14:textId="77777777" w:rsidR="00F71407" w:rsidRDefault="00F71407">
            <w:pPr>
              <w:autoSpaceDE w:val="0"/>
              <w:autoSpaceDN w:val="0"/>
              <w:adjustRightInd w:val="0"/>
              <w:jc w:val="center"/>
              <w:rPr>
                <w:iCs/>
                <w:color w:val="252626"/>
                <w:sz w:val="24"/>
                <w:szCs w:val="24"/>
              </w:rPr>
            </w:pPr>
            <w:r>
              <w:rPr>
                <w:color w:val="000000"/>
                <w:sz w:val="24"/>
                <w:szCs w:val="24"/>
              </w:rPr>
              <w:t>1</w:t>
            </w:r>
            <w:r>
              <w:rPr>
                <w:color w:val="494C4C"/>
                <w:sz w:val="24"/>
                <w:szCs w:val="24"/>
              </w:rPr>
              <w:t>.6</w:t>
            </w:r>
            <w:r>
              <w:rPr>
                <w:color w:val="262627"/>
                <w:sz w:val="24"/>
                <w:szCs w:val="24"/>
              </w:rPr>
              <w:t>584</w:t>
            </w:r>
          </w:p>
        </w:tc>
      </w:tr>
      <w:tr w:rsidR="00F71407" w14:paraId="2401E76A" w14:textId="77777777">
        <w:trPr>
          <w:jc w:val="center"/>
        </w:trPr>
        <w:tc>
          <w:tcPr>
            <w:tcW w:w="1458" w:type="dxa"/>
            <w:hideMark/>
          </w:tcPr>
          <w:p w14:paraId="544E30E2" w14:textId="77777777" w:rsidR="00F71407" w:rsidRDefault="00F71407">
            <w:pPr>
              <w:autoSpaceDE w:val="0"/>
              <w:autoSpaceDN w:val="0"/>
              <w:adjustRightInd w:val="0"/>
              <w:rPr>
                <w:color w:val="494C4C"/>
                <w:sz w:val="24"/>
                <w:szCs w:val="24"/>
              </w:rPr>
            </w:pPr>
            <w:r>
              <w:rPr>
                <w:color w:val="141414"/>
                <w:sz w:val="24"/>
                <w:szCs w:val="24"/>
              </w:rPr>
              <w:t>4</w:t>
            </w:r>
            <w:r>
              <w:rPr>
                <w:color w:val="6C7374"/>
                <w:sz w:val="24"/>
                <w:szCs w:val="24"/>
              </w:rPr>
              <w:t>/</w:t>
            </w:r>
            <w:r>
              <w:rPr>
                <w:color w:val="39393A"/>
                <w:sz w:val="24"/>
                <w:szCs w:val="24"/>
              </w:rPr>
              <w:t xml:space="preserve">26 </w:t>
            </w:r>
          </w:p>
        </w:tc>
        <w:tc>
          <w:tcPr>
            <w:tcW w:w="2520" w:type="dxa"/>
            <w:hideMark/>
          </w:tcPr>
          <w:p w14:paraId="56B6204C" w14:textId="77777777" w:rsidR="00F71407" w:rsidRDefault="00F71407">
            <w:pPr>
              <w:autoSpaceDE w:val="0"/>
              <w:autoSpaceDN w:val="0"/>
              <w:adjustRightInd w:val="0"/>
              <w:jc w:val="center"/>
              <w:rPr>
                <w:iCs/>
                <w:color w:val="252626"/>
                <w:sz w:val="24"/>
                <w:szCs w:val="24"/>
              </w:rPr>
            </w:pPr>
            <w:r>
              <w:rPr>
                <w:color w:val="141414"/>
                <w:sz w:val="24"/>
                <w:szCs w:val="24"/>
              </w:rPr>
              <w:t>1</w:t>
            </w:r>
            <w:r>
              <w:rPr>
                <w:color w:val="494C4C"/>
                <w:sz w:val="24"/>
                <w:szCs w:val="24"/>
              </w:rPr>
              <w:t>.6767</w:t>
            </w:r>
          </w:p>
        </w:tc>
      </w:tr>
      <w:tr w:rsidR="00F71407" w14:paraId="1FA711F7" w14:textId="77777777">
        <w:trPr>
          <w:jc w:val="center"/>
        </w:trPr>
        <w:tc>
          <w:tcPr>
            <w:tcW w:w="1458" w:type="dxa"/>
            <w:hideMark/>
          </w:tcPr>
          <w:p w14:paraId="7817A53F" w14:textId="77777777" w:rsidR="00F71407" w:rsidRDefault="00F71407">
            <w:pPr>
              <w:autoSpaceDE w:val="0"/>
              <w:autoSpaceDN w:val="0"/>
              <w:adjustRightInd w:val="0"/>
              <w:rPr>
                <w:color w:val="262627"/>
                <w:sz w:val="24"/>
                <w:szCs w:val="24"/>
              </w:rPr>
            </w:pPr>
            <w:r>
              <w:rPr>
                <w:color w:val="262627"/>
                <w:sz w:val="24"/>
                <w:szCs w:val="24"/>
              </w:rPr>
              <w:t>4</w:t>
            </w:r>
            <w:r>
              <w:rPr>
                <w:color w:val="6C7374"/>
                <w:sz w:val="24"/>
                <w:szCs w:val="24"/>
              </w:rPr>
              <w:t>/</w:t>
            </w:r>
            <w:r>
              <w:rPr>
                <w:color w:val="39393A"/>
                <w:sz w:val="24"/>
                <w:szCs w:val="24"/>
              </w:rPr>
              <w:t xml:space="preserve">27 </w:t>
            </w:r>
          </w:p>
        </w:tc>
        <w:tc>
          <w:tcPr>
            <w:tcW w:w="2520" w:type="dxa"/>
            <w:hideMark/>
          </w:tcPr>
          <w:p w14:paraId="3E2B56A0" w14:textId="77777777" w:rsidR="00F71407" w:rsidRDefault="00F71407">
            <w:pPr>
              <w:autoSpaceDE w:val="0"/>
              <w:autoSpaceDN w:val="0"/>
              <w:adjustRightInd w:val="0"/>
              <w:jc w:val="center"/>
              <w:rPr>
                <w:iCs/>
                <w:color w:val="252626"/>
                <w:sz w:val="24"/>
                <w:szCs w:val="24"/>
              </w:rPr>
            </w:pPr>
            <w:r>
              <w:rPr>
                <w:color w:val="262627"/>
                <w:sz w:val="24"/>
                <w:szCs w:val="24"/>
              </w:rPr>
              <w:t>1.6835</w:t>
            </w:r>
          </w:p>
        </w:tc>
      </w:tr>
      <w:tr w:rsidR="00F71407" w14:paraId="5D0E8D6C" w14:textId="77777777">
        <w:trPr>
          <w:jc w:val="center"/>
        </w:trPr>
        <w:tc>
          <w:tcPr>
            <w:tcW w:w="1458" w:type="dxa"/>
            <w:hideMark/>
          </w:tcPr>
          <w:p w14:paraId="67690266" w14:textId="77777777" w:rsidR="00F71407" w:rsidRDefault="00F71407">
            <w:pPr>
              <w:autoSpaceDE w:val="0"/>
              <w:autoSpaceDN w:val="0"/>
              <w:adjustRightInd w:val="0"/>
              <w:rPr>
                <w:color w:val="262627"/>
                <w:sz w:val="24"/>
                <w:szCs w:val="24"/>
              </w:rPr>
            </w:pPr>
            <w:r>
              <w:rPr>
                <w:color w:val="262627"/>
                <w:sz w:val="24"/>
                <w:szCs w:val="24"/>
              </w:rPr>
              <w:t>4</w:t>
            </w:r>
            <w:r>
              <w:rPr>
                <w:color w:val="6C7374"/>
                <w:sz w:val="24"/>
                <w:szCs w:val="24"/>
              </w:rPr>
              <w:t>/</w:t>
            </w:r>
            <w:r>
              <w:rPr>
                <w:color w:val="262627"/>
                <w:sz w:val="24"/>
                <w:szCs w:val="24"/>
              </w:rPr>
              <w:t xml:space="preserve">28 </w:t>
            </w:r>
          </w:p>
        </w:tc>
        <w:tc>
          <w:tcPr>
            <w:tcW w:w="2520" w:type="dxa"/>
            <w:hideMark/>
          </w:tcPr>
          <w:p w14:paraId="428E02CF" w14:textId="77777777" w:rsidR="00F71407" w:rsidRDefault="00F71407">
            <w:pPr>
              <w:autoSpaceDE w:val="0"/>
              <w:autoSpaceDN w:val="0"/>
              <w:adjustRightInd w:val="0"/>
              <w:jc w:val="center"/>
              <w:rPr>
                <w:iCs/>
                <w:color w:val="252626"/>
                <w:sz w:val="24"/>
                <w:szCs w:val="24"/>
              </w:rPr>
            </w:pPr>
            <w:r>
              <w:rPr>
                <w:color w:val="262627"/>
                <w:sz w:val="24"/>
                <w:szCs w:val="24"/>
              </w:rPr>
              <w:t>1.7111</w:t>
            </w:r>
          </w:p>
        </w:tc>
      </w:tr>
      <w:tr w:rsidR="00F71407" w14:paraId="2B0F795E" w14:textId="77777777">
        <w:trPr>
          <w:jc w:val="center"/>
        </w:trPr>
        <w:tc>
          <w:tcPr>
            <w:tcW w:w="1458" w:type="dxa"/>
            <w:hideMark/>
          </w:tcPr>
          <w:p w14:paraId="12545A5A" w14:textId="77777777" w:rsidR="00F71407" w:rsidRDefault="00F71407">
            <w:pPr>
              <w:rPr>
                <w:sz w:val="24"/>
                <w:szCs w:val="24"/>
              </w:rPr>
            </w:pPr>
            <w:r>
              <w:rPr>
                <w:color w:val="262627"/>
                <w:sz w:val="24"/>
                <w:szCs w:val="24"/>
              </w:rPr>
              <w:t>4</w:t>
            </w:r>
            <w:r>
              <w:rPr>
                <w:color w:val="838383"/>
                <w:sz w:val="24"/>
                <w:szCs w:val="24"/>
              </w:rPr>
              <w:t>/</w:t>
            </w:r>
            <w:r>
              <w:rPr>
                <w:color w:val="39393A"/>
                <w:sz w:val="24"/>
                <w:szCs w:val="24"/>
              </w:rPr>
              <w:t xml:space="preserve">29 </w:t>
            </w:r>
          </w:p>
        </w:tc>
        <w:tc>
          <w:tcPr>
            <w:tcW w:w="2520" w:type="dxa"/>
            <w:hideMark/>
          </w:tcPr>
          <w:p w14:paraId="491AFAAC" w14:textId="77777777" w:rsidR="00F71407" w:rsidRDefault="00F71407">
            <w:pPr>
              <w:autoSpaceDE w:val="0"/>
              <w:autoSpaceDN w:val="0"/>
              <w:adjustRightInd w:val="0"/>
              <w:jc w:val="center"/>
              <w:rPr>
                <w:iCs/>
                <w:color w:val="252626"/>
                <w:sz w:val="24"/>
                <w:szCs w:val="24"/>
              </w:rPr>
            </w:pPr>
            <w:r>
              <w:rPr>
                <w:color w:val="141414"/>
                <w:sz w:val="24"/>
                <w:szCs w:val="24"/>
              </w:rPr>
              <w:t>1.</w:t>
            </w:r>
            <w:r>
              <w:rPr>
                <w:color w:val="39393A"/>
                <w:sz w:val="24"/>
                <w:szCs w:val="24"/>
              </w:rPr>
              <w:t>7422</w:t>
            </w:r>
          </w:p>
        </w:tc>
      </w:tr>
    </w:tbl>
    <w:p w14:paraId="0BAFDFAC"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i/>
          <w:sz w:val="24"/>
          <w:szCs w:val="24"/>
        </w:rPr>
      </w:pPr>
    </w:p>
    <w:p w14:paraId="752478C3"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r>
        <w:rPr>
          <w:rFonts w:ascii="Times New Roman" w:hAnsi="Times New Roman"/>
          <w:sz w:val="24"/>
          <w:szCs w:val="24"/>
        </w:rPr>
        <w:t>The best day is 4/25. At a rate of $1.6584/pound, you would have £150.75. The worst day is 4/7. At $1.9520/pound, you would have £128.07, or a difference of £22.68.</w:t>
      </w:r>
    </w:p>
    <w:p w14:paraId="1339C249" w14:textId="77777777" w:rsidR="00F71407" w:rsidRDefault="00F71407" w:rsidP="00F71407">
      <w:pPr>
        <w:pStyle w:val="Style2"/>
        <w:keepNext w:val="0"/>
        <w:keepLines w:val="0"/>
        <w:tabs>
          <w:tab w:val="clear" w:pos="270"/>
          <w:tab w:val="left" w:pos="420"/>
        </w:tabs>
        <w:spacing w:before="0" w:after="120"/>
        <w:ind w:left="360" w:firstLine="0"/>
        <w:rPr>
          <w:rFonts w:ascii="Times New Roman" w:hAnsi="Times New Roman"/>
          <w:sz w:val="24"/>
          <w:szCs w:val="24"/>
        </w:rPr>
      </w:pPr>
    </w:p>
    <w:p w14:paraId="29DF1E4C" w14:textId="77777777" w:rsidR="00F71407" w:rsidRDefault="00F71407" w:rsidP="00F71407">
      <w:pPr>
        <w:pStyle w:val="H1"/>
        <w:widowControl w:val="0"/>
        <w:tabs>
          <w:tab w:val="clear" w:pos="0"/>
          <w:tab w:val="left" w:pos="420"/>
        </w:tabs>
        <w:suppressAutoHyphens w:val="0"/>
        <w:spacing w:after="120"/>
        <w:rPr>
          <w:rFonts w:ascii="Times New Roman" w:hAnsi="Times New Roman"/>
          <w:sz w:val="24"/>
          <w:szCs w:val="24"/>
        </w:rPr>
      </w:pPr>
      <w:r>
        <w:rPr>
          <w:rFonts w:ascii="Times New Roman" w:hAnsi="Times New Roman"/>
          <w:b w:val="0"/>
          <w:caps w:val="0"/>
          <w:sz w:val="24"/>
          <w:szCs w:val="24"/>
        </w:rPr>
        <w:br w:type="page"/>
      </w:r>
    </w:p>
    <w:p w14:paraId="6F9A10CA" w14:textId="77777777" w:rsidR="00F71407" w:rsidRDefault="00F71407" w:rsidP="00F71407">
      <w:pPr>
        <w:pStyle w:val="H1"/>
        <w:widowControl w:val="0"/>
        <w:tabs>
          <w:tab w:val="clear" w:pos="0"/>
          <w:tab w:val="left" w:pos="420"/>
        </w:tabs>
        <w:suppressAutoHyphens w:val="0"/>
        <w:spacing w:after="120"/>
        <w:rPr>
          <w:rFonts w:ascii="Times New Roman" w:hAnsi="Times New Roman"/>
          <w:sz w:val="24"/>
          <w:szCs w:val="24"/>
        </w:rPr>
      </w:pPr>
      <w:r>
        <w:rPr>
          <w:rFonts w:ascii="Times New Roman" w:hAnsi="Times New Roman"/>
          <w:sz w:val="24"/>
          <w:szCs w:val="24"/>
        </w:rPr>
        <w:lastRenderedPageBreak/>
        <w:t>ANSWERS TO Data analysis PROBLEMS</w:t>
      </w:r>
    </w:p>
    <w:p w14:paraId="048304A8" w14:textId="77777777" w:rsidR="00F71407" w:rsidRDefault="00F71407" w:rsidP="00F71407">
      <w:pPr>
        <w:pStyle w:val="H1"/>
        <w:widowControl w:val="0"/>
        <w:tabs>
          <w:tab w:val="clear" w:pos="0"/>
          <w:tab w:val="left" w:pos="420"/>
        </w:tabs>
        <w:suppressAutoHyphens w:val="0"/>
        <w:spacing w:after="120"/>
        <w:rPr>
          <w:rFonts w:ascii="Times New Roman" w:hAnsi="Times New Roman"/>
          <w:sz w:val="24"/>
          <w:szCs w:val="24"/>
        </w:rPr>
      </w:pPr>
    </w:p>
    <w:p w14:paraId="31564A78" w14:textId="77777777" w:rsidR="00F71407" w:rsidRDefault="00F71407" w:rsidP="00F71407">
      <w:pPr>
        <w:pStyle w:val="a7"/>
        <w:numPr>
          <w:ilvl w:val="0"/>
          <w:numId w:val="2"/>
        </w:numPr>
        <w:spacing w:after="120" w:line="240" w:lineRule="auto"/>
        <w:rPr>
          <w:i/>
          <w:sz w:val="24"/>
          <w:szCs w:val="24"/>
        </w:rPr>
      </w:pPr>
      <w:r>
        <w:rPr>
          <w:i/>
          <w:sz w:val="24"/>
          <w:szCs w:val="24"/>
        </w:rPr>
        <w:t>Go to the St. Louis Federal Reserve FRED database and find data on the three-month treasury bill rate (TB3MS), the three-month AA nonfinancial commercial paper rate (CPN3M), the 30-year treasury bond rate (GS30), the 30-year conventional mortgage rate (MORTG), and the NBER recession indicators (USREC).</w:t>
      </w:r>
    </w:p>
    <w:p w14:paraId="5673A23A" w14:textId="77777777" w:rsidR="00F71407" w:rsidRDefault="00F71407" w:rsidP="00F71407">
      <w:pPr>
        <w:pStyle w:val="a7"/>
        <w:numPr>
          <w:ilvl w:val="1"/>
          <w:numId w:val="2"/>
        </w:numPr>
        <w:spacing w:after="120" w:line="240" w:lineRule="auto"/>
        <w:ind w:left="720"/>
        <w:rPr>
          <w:i/>
          <w:sz w:val="24"/>
          <w:szCs w:val="24"/>
        </w:rPr>
      </w:pPr>
      <w:r>
        <w:rPr>
          <w:i/>
          <w:sz w:val="24"/>
          <w:szCs w:val="24"/>
        </w:rPr>
        <w:t>In general, how do these interest rates behave during recessions and during expansionary periods?</w:t>
      </w:r>
    </w:p>
    <w:p w14:paraId="2D237399" w14:textId="77777777" w:rsidR="00F71407" w:rsidRDefault="00F71407" w:rsidP="00F71407">
      <w:pPr>
        <w:pStyle w:val="a7"/>
        <w:spacing w:after="120" w:line="240" w:lineRule="auto"/>
        <w:rPr>
          <w:sz w:val="24"/>
          <w:szCs w:val="24"/>
        </w:rPr>
      </w:pPr>
      <w:r>
        <w:rPr>
          <w:sz w:val="24"/>
          <w:szCs w:val="24"/>
        </w:rPr>
        <w:t>Generally speaking, the interest rates fall during recessions, and rise during expansionary periods.</w:t>
      </w:r>
    </w:p>
    <w:p w14:paraId="441676F8" w14:textId="77777777" w:rsidR="00F71407" w:rsidRDefault="00F71407" w:rsidP="00F71407">
      <w:pPr>
        <w:pStyle w:val="a7"/>
        <w:numPr>
          <w:ilvl w:val="1"/>
          <w:numId w:val="2"/>
        </w:numPr>
        <w:spacing w:after="120" w:line="240" w:lineRule="auto"/>
        <w:ind w:left="720"/>
        <w:rPr>
          <w:i/>
          <w:sz w:val="24"/>
          <w:szCs w:val="24"/>
        </w:rPr>
      </w:pPr>
      <w:r>
        <w:rPr>
          <w:i/>
          <w:sz w:val="24"/>
          <w:szCs w:val="24"/>
        </w:rPr>
        <w:t>In general, how do the three-month rates compare to the 30-year rates? How do the treasury rates compare to the respective commercial paper and mortgage rates?</w:t>
      </w:r>
    </w:p>
    <w:p w14:paraId="2CDEDF63" w14:textId="77777777" w:rsidR="00F71407" w:rsidRDefault="00F71407" w:rsidP="00F71407">
      <w:pPr>
        <w:pStyle w:val="a7"/>
        <w:spacing w:after="120" w:line="240" w:lineRule="auto"/>
        <w:rPr>
          <w:sz w:val="24"/>
          <w:szCs w:val="24"/>
        </w:rPr>
      </w:pPr>
      <w:r>
        <w:rPr>
          <w:sz w:val="24"/>
          <w:szCs w:val="24"/>
        </w:rPr>
        <w:t>In nearly all instances, the 30-year rates are significantly higher than the three-month rates. Likewise, in most cases the 30-year mortgage rate is higher than the 30-year treasury rate, and the three-month commercial paper rate is higher than the three-month treasury rate.</w:t>
      </w:r>
    </w:p>
    <w:p w14:paraId="7D2CA3E4" w14:textId="77777777" w:rsidR="00F71407" w:rsidRDefault="00F71407" w:rsidP="00F71407">
      <w:pPr>
        <w:pStyle w:val="a7"/>
        <w:numPr>
          <w:ilvl w:val="1"/>
          <w:numId w:val="2"/>
        </w:numPr>
        <w:spacing w:after="120" w:line="240" w:lineRule="auto"/>
        <w:ind w:left="720"/>
        <w:rPr>
          <w:i/>
          <w:sz w:val="24"/>
          <w:szCs w:val="24"/>
        </w:rPr>
      </w:pPr>
      <w:r>
        <w:rPr>
          <w:i/>
          <w:sz w:val="24"/>
          <w:szCs w:val="24"/>
        </w:rPr>
        <w:t>For the most recent available month of data, take the average of each of the three-month rates and compare it to the average of the three-month rates from January 2000. How do the averages compare?</w:t>
      </w:r>
    </w:p>
    <w:p w14:paraId="3498543F" w14:textId="77777777" w:rsidR="00F71407" w:rsidRDefault="00F71407" w:rsidP="00F71407">
      <w:pPr>
        <w:pStyle w:val="a7"/>
        <w:spacing w:after="120" w:line="240" w:lineRule="auto"/>
        <w:rPr>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1318"/>
        <w:gridCol w:w="1964"/>
      </w:tblGrid>
      <w:tr w:rsidR="00F71407" w14:paraId="24DF138A" w14:textId="77777777">
        <w:trPr>
          <w:trHeight w:val="324"/>
          <w:jc w:val="center"/>
        </w:trPr>
        <w:tc>
          <w:tcPr>
            <w:tcW w:w="2634" w:type="dxa"/>
            <w:tcBorders>
              <w:top w:val="single" w:sz="4" w:space="0" w:color="000000"/>
              <w:left w:val="single" w:sz="4" w:space="0" w:color="000000"/>
              <w:bottom w:val="single" w:sz="4" w:space="0" w:color="000000"/>
              <w:right w:val="single" w:sz="4" w:space="0" w:color="000000"/>
            </w:tcBorders>
            <w:vAlign w:val="center"/>
          </w:tcPr>
          <w:p w14:paraId="52E4B673" w14:textId="77777777" w:rsidR="00F71407" w:rsidRDefault="00F71407">
            <w:pPr>
              <w:pStyle w:val="a7"/>
              <w:spacing w:after="120" w:line="240" w:lineRule="auto"/>
              <w:ind w:hanging="360"/>
              <w:jc w:val="right"/>
              <w:rPr>
                <w:sz w:val="24"/>
                <w:szCs w:val="24"/>
                <w:lang w:eastAsia="en-US"/>
              </w:rPr>
            </w:pPr>
          </w:p>
        </w:tc>
        <w:tc>
          <w:tcPr>
            <w:tcW w:w="1318" w:type="dxa"/>
            <w:tcBorders>
              <w:top w:val="single" w:sz="4" w:space="0" w:color="000000"/>
              <w:left w:val="single" w:sz="4" w:space="0" w:color="000000"/>
              <w:bottom w:val="single" w:sz="4" w:space="0" w:color="000000"/>
              <w:right w:val="single" w:sz="4" w:space="0" w:color="000000"/>
            </w:tcBorders>
            <w:vAlign w:val="center"/>
            <w:hideMark/>
          </w:tcPr>
          <w:p w14:paraId="2B383125" w14:textId="77777777" w:rsidR="00F71407" w:rsidRDefault="00F71407">
            <w:pPr>
              <w:spacing w:after="120"/>
              <w:jc w:val="right"/>
              <w:rPr>
                <w:sz w:val="24"/>
                <w:szCs w:val="24"/>
                <w:lang w:eastAsia="en-US"/>
              </w:rPr>
            </w:pPr>
            <w:r>
              <w:rPr>
                <w:sz w:val="24"/>
                <w:szCs w:val="24"/>
                <w:lang w:eastAsia="en-US"/>
              </w:rPr>
              <w:t>April 2014</w:t>
            </w: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25C22A57" w14:textId="77777777" w:rsidR="00F71407" w:rsidRDefault="00F71407">
            <w:pPr>
              <w:spacing w:after="120"/>
              <w:jc w:val="right"/>
              <w:rPr>
                <w:sz w:val="24"/>
                <w:szCs w:val="24"/>
                <w:lang w:eastAsia="en-US"/>
              </w:rPr>
            </w:pPr>
            <w:r>
              <w:rPr>
                <w:sz w:val="24"/>
                <w:szCs w:val="24"/>
                <w:lang w:eastAsia="en-US"/>
              </w:rPr>
              <w:t>January 2000</w:t>
            </w:r>
          </w:p>
        </w:tc>
      </w:tr>
      <w:tr w:rsidR="00F71407" w14:paraId="69A9AD93" w14:textId="77777777">
        <w:trPr>
          <w:trHeight w:val="324"/>
          <w:jc w:val="center"/>
        </w:trPr>
        <w:tc>
          <w:tcPr>
            <w:tcW w:w="2634" w:type="dxa"/>
            <w:tcBorders>
              <w:top w:val="single" w:sz="4" w:space="0" w:color="000000"/>
              <w:left w:val="single" w:sz="4" w:space="0" w:color="000000"/>
              <w:bottom w:val="single" w:sz="4" w:space="0" w:color="000000"/>
              <w:right w:val="single" w:sz="4" w:space="0" w:color="000000"/>
            </w:tcBorders>
            <w:vAlign w:val="center"/>
            <w:hideMark/>
          </w:tcPr>
          <w:p w14:paraId="1CFD56FF" w14:textId="77777777" w:rsidR="00F71407" w:rsidRDefault="00F71407">
            <w:pPr>
              <w:spacing w:after="120"/>
              <w:jc w:val="right"/>
              <w:rPr>
                <w:sz w:val="24"/>
                <w:szCs w:val="24"/>
                <w:lang w:eastAsia="en-US"/>
              </w:rPr>
            </w:pPr>
            <w:r>
              <w:rPr>
                <w:sz w:val="24"/>
                <w:szCs w:val="24"/>
                <w:lang w:eastAsia="en-US"/>
              </w:rPr>
              <w:t>Three-month rate avg.</w:t>
            </w:r>
          </w:p>
        </w:tc>
        <w:tc>
          <w:tcPr>
            <w:tcW w:w="1318" w:type="dxa"/>
            <w:tcBorders>
              <w:top w:val="single" w:sz="4" w:space="0" w:color="000000"/>
              <w:left w:val="single" w:sz="4" w:space="0" w:color="000000"/>
              <w:bottom w:val="single" w:sz="4" w:space="0" w:color="000000"/>
              <w:right w:val="single" w:sz="4" w:space="0" w:color="000000"/>
            </w:tcBorders>
            <w:vAlign w:val="center"/>
            <w:hideMark/>
          </w:tcPr>
          <w:p w14:paraId="3DFF4183" w14:textId="77777777" w:rsidR="00F71407" w:rsidRDefault="00F71407">
            <w:pPr>
              <w:pStyle w:val="a7"/>
              <w:spacing w:after="120" w:line="240" w:lineRule="auto"/>
              <w:ind w:hanging="360"/>
              <w:jc w:val="right"/>
              <w:rPr>
                <w:sz w:val="24"/>
                <w:szCs w:val="24"/>
                <w:lang w:eastAsia="en-US"/>
              </w:rPr>
            </w:pPr>
            <w:r>
              <w:rPr>
                <w:sz w:val="24"/>
                <w:szCs w:val="24"/>
                <w:lang w:eastAsia="en-US"/>
              </w:rPr>
              <w:t>0.07%</w:t>
            </w: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0481265F" w14:textId="77777777" w:rsidR="00F71407" w:rsidRDefault="00F71407">
            <w:pPr>
              <w:pStyle w:val="a7"/>
              <w:spacing w:after="120" w:line="240" w:lineRule="auto"/>
              <w:ind w:hanging="360"/>
              <w:jc w:val="right"/>
              <w:rPr>
                <w:sz w:val="24"/>
                <w:szCs w:val="24"/>
                <w:lang w:eastAsia="en-US"/>
              </w:rPr>
            </w:pPr>
            <w:r>
              <w:rPr>
                <w:sz w:val="24"/>
                <w:szCs w:val="24"/>
                <w:lang w:eastAsia="en-US"/>
              </w:rPr>
              <w:t>5.53%</w:t>
            </w:r>
          </w:p>
        </w:tc>
      </w:tr>
      <w:tr w:rsidR="00F71407" w14:paraId="79E0F783" w14:textId="77777777">
        <w:trPr>
          <w:trHeight w:val="386"/>
          <w:jc w:val="center"/>
        </w:trPr>
        <w:tc>
          <w:tcPr>
            <w:tcW w:w="2634" w:type="dxa"/>
            <w:tcBorders>
              <w:top w:val="single" w:sz="4" w:space="0" w:color="000000"/>
              <w:left w:val="single" w:sz="4" w:space="0" w:color="000000"/>
              <w:bottom w:val="single" w:sz="4" w:space="0" w:color="000000"/>
              <w:right w:val="single" w:sz="4" w:space="0" w:color="000000"/>
            </w:tcBorders>
            <w:vAlign w:val="center"/>
            <w:hideMark/>
          </w:tcPr>
          <w:p w14:paraId="2D74E0E8" w14:textId="77777777" w:rsidR="00F71407" w:rsidRDefault="00F71407">
            <w:pPr>
              <w:spacing w:after="120"/>
              <w:jc w:val="right"/>
              <w:rPr>
                <w:sz w:val="24"/>
                <w:szCs w:val="24"/>
                <w:lang w:eastAsia="en-US"/>
              </w:rPr>
            </w:pPr>
            <w:r>
              <w:rPr>
                <w:sz w:val="24"/>
                <w:szCs w:val="24"/>
                <w:lang w:eastAsia="en-US"/>
              </w:rPr>
              <w:t>30 year rate avg.</w:t>
            </w:r>
          </w:p>
        </w:tc>
        <w:tc>
          <w:tcPr>
            <w:tcW w:w="1318" w:type="dxa"/>
            <w:tcBorders>
              <w:top w:val="single" w:sz="4" w:space="0" w:color="000000"/>
              <w:left w:val="single" w:sz="4" w:space="0" w:color="000000"/>
              <w:bottom w:val="single" w:sz="4" w:space="0" w:color="000000"/>
              <w:right w:val="single" w:sz="4" w:space="0" w:color="000000"/>
            </w:tcBorders>
            <w:vAlign w:val="center"/>
            <w:hideMark/>
          </w:tcPr>
          <w:p w14:paraId="77E4EB76" w14:textId="77777777" w:rsidR="00F71407" w:rsidRDefault="00F71407">
            <w:pPr>
              <w:pStyle w:val="a7"/>
              <w:spacing w:after="120" w:line="240" w:lineRule="auto"/>
              <w:ind w:hanging="360"/>
              <w:jc w:val="right"/>
              <w:rPr>
                <w:sz w:val="24"/>
                <w:szCs w:val="24"/>
                <w:lang w:eastAsia="en-US"/>
              </w:rPr>
            </w:pPr>
            <w:r>
              <w:rPr>
                <w:sz w:val="24"/>
                <w:szCs w:val="24"/>
                <w:lang w:eastAsia="en-US"/>
              </w:rPr>
              <w:t>3.93%</w:t>
            </w: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2429FD23" w14:textId="77777777" w:rsidR="00F71407" w:rsidRDefault="00F71407">
            <w:pPr>
              <w:pStyle w:val="a7"/>
              <w:spacing w:after="120" w:line="240" w:lineRule="auto"/>
              <w:ind w:hanging="360"/>
              <w:jc w:val="right"/>
              <w:rPr>
                <w:sz w:val="24"/>
                <w:szCs w:val="24"/>
                <w:lang w:eastAsia="en-US"/>
              </w:rPr>
            </w:pPr>
            <w:r>
              <w:rPr>
                <w:sz w:val="24"/>
                <w:szCs w:val="24"/>
                <w:lang w:eastAsia="en-US"/>
              </w:rPr>
              <w:t>7.42%</w:t>
            </w:r>
          </w:p>
        </w:tc>
      </w:tr>
    </w:tbl>
    <w:p w14:paraId="46844796" w14:textId="77777777" w:rsidR="00F71407" w:rsidRDefault="00F71407" w:rsidP="00F71407">
      <w:pPr>
        <w:pStyle w:val="a7"/>
        <w:spacing w:after="120" w:line="240" w:lineRule="auto"/>
        <w:rPr>
          <w:i/>
          <w:sz w:val="24"/>
          <w:szCs w:val="24"/>
        </w:rPr>
      </w:pPr>
    </w:p>
    <w:p w14:paraId="5BBB2E04" w14:textId="77777777" w:rsidR="00F71407" w:rsidRDefault="00F71407" w:rsidP="00F71407">
      <w:pPr>
        <w:pStyle w:val="a7"/>
        <w:numPr>
          <w:ilvl w:val="1"/>
          <w:numId w:val="2"/>
        </w:numPr>
        <w:spacing w:after="120" w:line="240" w:lineRule="auto"/>
        <w:ind w:left="720"/>
        <w:rPr>
          <w:i/>
          <w:sz w:val="24"/>
          <w:szCs w:val="24"/>
        </w:rPr>
      </w:pPr>
      <w:r>
        <w:rPr>
          <w:i/>
          <w:sz w:val="24"/>
          <w:szCs w:val="24"/>
        </w:rPr>
        <w:t>For the most recent available month of data, take the average of each of the 30-year rates and compare it to the average of the 30-year rates from January 2000. How do the averages compare?</w:t>
      </w:r>
    </w:p>
    <w:p w14:paraId="7935FA2E" w14:textId="4C3F0942" w:rsidR="00F71407" w:rsidRDefault="00F71407" w:rsidP="00F71407">
      <w:pPr>
        <w:pStyle w:val="a7"/>
        <w:spacing w:after="120" w:line="240" w:lineRule="auto"/>
        <w:ind w:hanging="360"/>
        <w:rPr>
          <w:sz w:val="24"/>
          <w:szCs w:val="24"/>
        </w:rPr>
      </w:pPr>
      <w:r>
        <w:rPr>
          <w:sz w:val="24"/>
          <w:szCs w:val="24"/>
        </w:rPr>
        <w:tab/>
        <w:t>See table above. For both rate averages, they have decreased significantly since January 2000.</w:t>
      </w:r>
    </w:p>
    <w:p w14:paraId="26CBA801" w14:textId="77777777" w:rsidR="00F71407" w:rsidRDefault="00F71407" w:rsidP="00F71407">
      <w:pPr>
        <w:pStyle w:val="a7"/>
        <w:numPr>
          <w:ilvl w:val="0"/>
          <w:numId w:val="2"/>
        </w:numPr>
        <w:spacing w:after="120" w:line="240" w:lineRule="auto"/>
        <w:rPr>
          <w:i/>
          <w:sz w:val="24"/>
          <w:szCs w:val="24"/>
        </w:rPr>
      </w:pPr>
      <w:r>
        <w:rPr>
          <w:i/>
          <w:sz w:val="24"/>
          <w:szCs w:val="24"/>
        </w:rPr>
        <w:t>Go to the St. Louis Federal Reserve FRED database and find data on the M1 money supply (M1SL) and the 10-year treasury bond rate (GS10). Add the two series into a single graph by using the “Add Data Series” feature. Transform the M1 money supply variable into the M1 growth rate by adjusting the units for the M1 money supply to “Percent Change from Year Ago.”</w:t>
      </w:r>
    </w:p>
    <w:p w14:paraId="6DF8FA6A" w14:textId="77777777" w:rsidR="00F71407" w:rsidRDefault="00F71407" w:rsidP="00F71407">
      <w:pPr>
        <w:pStyle w:val="a7"/>
        <w:numPr>
          <w:ilvl w:val="1"/>
          <w:numId w:val="2"/>
        </w:numPr>
        <w:spacing w:after="120" w:line="240" w:lineRule="auto"/>
        <w:ind w:left="720"/>
        <w:rPr>
          <w:i/>
          <w:sz w:val="24"/>
          <w:szCs w:val="24"/>
        </w:rPr>
      </w:pPr>
      <w:r>
        <w:rPr>
          <w:i/>
          <w:sz w:val="24"/>
          <w:szCs w:val="24"/>
        </w:rPr>
        <w:t>In general, how have the growth rate of the M1 money supply and the 10-year treasury bond rate behaved during recessions and during expansionary periods since the year 2000?</w:t>
      </w:r>
    </w:p>
    <w:p w14:paraId="03AB9C5D" w14:textId="77777777" w:rsidR="00F71407" w:rsidRDefault="00F71407" w:rsidP="00F71407">
      <w:pPr>
        <w:pStyle w:val="a7"/>
        <w:spacing w:after="120" w:line="240" w:lineRule="auto"/>
        <w:rPr>
          <w:sz w:val="24"/>
          <w:szCs w:val="24"/>
        </w:rPr>
      </w:pPr>
      <w:r>
        <w:rPr>
          <w:sz w:val="24"/>
          <w:szCs w:val="24"/>
        </w:rPr>
        <w:t xml:space="preserve">Generally, the 10-year treasury rate fell during the recessionary periods of 2001 and 2007-2009; during expansionary periods, there was less of a pattern. The money growth rate increased significantly during recessionary periods, however during expansions there is less of a pattern; following the </w:t>
      </w:r>
      <w:r>
        <w:rPr>
          <w:sz w:val="24"/>
          <w:szCs w:val="24"/>
        </w:rPr>
        <w:lastRenderedPageBreak/>
        <w:t>2001 recession, money growth gradually declined, but after the 2007-2009 recession, money growth was relatively high and variable.</w:t>
      </w:r>
    </w:p>
    <w:p w14:paraId="699A45F8" w14:textId="77777777" w:rsidR="00F71407" w:rsidRDefault="00F71407" w:rsidP="00F71407">
      <w:pPr>
        <w:pStyle w:val="a7"/>
        <w:numPr>
          <w:ilvl w:val="1"/>
          <w:numId w:val="2"/>
        </w:numPr>
        <w:spacing w:after="120" w:line="240" w:lineRule="auto"/>
        <w:ind w:left="720"/>
        <w:rPr>
          <w:i/>
          <w:sz w:val="24"/>
          <w:szCs w:val="24"/>
        </w:rPr>
      </w:pPr>
      <w:r>
        <w:rPr>
          <w:i/>
          <w:sz w:val="24"/>
          <w:szCs w:val="24"/>
        </w:rPr>
        <w:t>In general, is there an obvious, stable relationship between money growth and the 10-year interest rate since the year 2000?</w:t>
      </w:r>
    </w:p>
    <w:p w14:paraId="5E7B1F0C" w14:textId="77777777" w:rsidR="00F71407" w:rsidRDefault="00F71407" w:rsidP="00F71407">
      <w:pPr>
        <w:pStyle w:val="a7"/>
        <w:spacing w:after="120" w:line="240" w:lineRule="auto"/>
        <w:rPr>
          <w:sz w:val="24"/>
          <w:szCs w:val="24"/>
        </w:rPr>
      </w:pPr>
      <w:r>
        <w:rPr>
          <w:sz w:val="24"/>
          <w:szCs w:val="24"/>
        </w:rPr>
        <w:t>When money growth rises, the 10-year treasury rate appears to fall, and vice-versa, however this effect is more obvious over some periods than others.</w:t>
      </w:r>
    </w:p>
    <w:p w14:paraId="3462F50A" w14:textId="77777777" w:rsidR="00F71407" w:rsidRDefault="00F71407" w:rsidP="00F71407">
      <w:pPr>
        <w:pStyle w:val="a7"/>
        <w:numPr>
          <w:ilvl w:val="1"/>
          <w:numId w:val="2"/>
        </w:numPr>
        <w:spacing w:after="120" w:line="240" w:lineRule="auto"/>
        <w:ind w:left="720"/>
        <w:rPr>
          <w:i/>
          <w:sz w:val="24"/>
          <w:szCs w:val="24"/>
        </w:rPr>
      </w:pPr>
      <w:r>
        <w:rPr>
          <w:i/>
          <w:sz w:val="24"/>
          <w:szCs w:val="24"/>
        </w:rPr>
        <w:t>Compare the money growth rate and the 10-year interest rate for the most recent month available to the rates for January 2000. How do the rates compare?</w:t>
      </w:r>
    </w:p>
    <w:p w14:paraId="535F46C4" w14:textId="77777777" w:rsidR="00F71407" w:rsidRDefault="00F71407" w:rsidP="00F71407">
      <w:pPr>
        <w:pStyle w:val="a7"/>
        <w:spacing w:after="120" w:line="240" w:lineRule="auto"/>
        <w:rPr>
          <w:i/>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9"/>
        <w:gridCol w:w="1676"/>
        <w:gridCol w:w="1602"/>
      </w:tblGrid>
      <w:tr w:rsidR="00F71407" w14:paraId="22F69870" w14:textId="77777777">
        <w:trPr>
          <w:trHeight w:val="295"/>
          <w:jc w:val="center"/>
        </w:trPr>
        <w:tc>
          <w:tcPr>
            <w:tcW w:w="2769" w:type="dxa"/>
            <w:tcBorders>
              <w:top w:val="single" w:sz="4" w:space="0" w:color="000000"/>
              <w:left w:val="single" w:sz="4" w:space="0" w:color="000000"/>
              <w:bottom w:val="single" w:sz="4" w:space="0" w:color="000000"/>
              <w:right w:val="single" w:sz="4" w:space="0" w:color="000000"/>
            </w:tcBorders>
            <w:vAlign w:val="center"/>
          </w:tcPr>
          <w:p w14:paraId="092AA7A5" w14:textId="77777777" w:rsidR="00F71407" w:rsidRDefault="00F71407">
            <w:pPr>
              <w:spacing w:after="120"/>
              <w:jc w:val="right"/>
              <w:rPr>
                <w:sz w:val="24"/>
                <w:szCs w:val="24"/>
                <w:lang w:eastAsia="en-US"/>
              </w:rPr>
            </w:pPr>
          </w:p>
        </w:tc>
        <w:tc>
          <w:tcPr>
            <w:tcW w:w="1676" w:type="dxa"/>
            <w:tcBorders>
              <w:top w:val="single" w:sz="4" w:space="0" w:color="000000"/>
              <w:left w:val="single" w:sz="4" w:space="0" w:color="000000"/>
              <w:bottom w:val="single" w:sz="4" w:space="0" w:color="000000"/>
              <w:right w:val="single" w:sz="4" w:space="0" w:color="000000"/>
            </w:tcBorders>
            <w:vAlign w:val="center"/>
            <w:hideMark/>
          </w:tcPr>
          <w:p w14:paraId="446E21A2" w14:textId="77777777" w:rsidR="00F71407" w:rsidRDefault="00F71407">
            <w:pPr>
              <w:spacing w:after="120"/>
              <w:jc w:val="right"/>
              <w:rPr>
                <w:sz w:val="24"/>
                <w:szCs w:val="24"/>
                <w:lang w:eastAsia="en-US"/>
              </w:rPr>
            </w:pPr>
            <w:r>
              <w:rPr>
                <w:sz w:val="24"/>
                <w:szCs w:val="24"/>
                <w:lang w:eastAsia="en-US"/>
              </w:rPr>
              <w:t>April 2014</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500D22A3" w14:textId="77777777" w:rsidR="00F71407" w:rsidRDefault="00F71407">
            <w:pPr>
              <w:spacing w:after="120"/>
              <w:jc w:val="right"/>
              <w:rPr>
                <w:sz w:val="24"/>
                <w:szCs w:val="24"/>
                <w:lang w:eastAsia="en-US"/>
              </w:rPr>
            </w:pPr>
            <w:r>
              <w:rPr>
                <w:sz w:val="24"/>
                <w:szCs w:val="24"/>
                <w:lang w:eastAsia="en-US"/>
              </w:rPr>
              <w:t>January 2000</w:t>
            </w:r>
          </w:p>
        </w:tc>
      </w:tr>
      <w:tr w:rsidR="00F71407" w14:paraId="64F9ADB1" w14:textId="77777777">
        <w:trPr>
          <w:trHeight w:val="295"/>
          <w:jc w:val="center"/>
        </w:trPr>
        <w:tc>
          <w:tcPr>
            <w:tcW w:w="2769" w:type="dxa"/>
            <w:tcBorders>
              <w:top w:val="single" w:sz="4" w:space="0" w:color="000000"/>
              <w:left w:val="single" w:sz="4" w:space="0" w:color="000000"/>
              <w:bottom w:val="single" w:sz="4" w:space="0" w:color="000000"/>
              <w:right w:val="single" w:sz="4" w:space="0" w:color="000000"/>
            </w:tcBorders>
            <w:vAlign w:val="center"/>
            <w:hideMark/>
          </w:tcPr>
          <w:p w14:paraId="6942D6A1" w14:textId="77777777" w:rsidR="00F71407" w:rsidRDefault="00F71407">
            <w:pPr>
              <w:spacing w:after="120"/>
              <w:jc w:val="right"/>
              <w:rPr>
                <w:sz w:val="24"/>
                <w:szCs w:val="24"/>
                <w:lang w:eastAsia="en-US"/>
              </w:rPr>
            </w:pPr>
            <w:r>
              <w:rPr>
                <w:sz w:val="24"/>
                <w:szCs w:val="24"/>
                <w:lang w:eastAsia="en-US"/>
              </w:rPr>
              <w:t>M1 Money Growth</w:t>
            </w:r>
          </w:p>
        </w:tc>
        <w:tc>
          <w:tcPr>
            <w:tcW w:w="1676" w:type="dxa"/>
            <w:tcBorders>
              <w:top w:val="single" w:sz="4" w:space="0" w:color="000000"/>
              <w:left w:val="single" w:sz="4" w:space="0" w:color="000000"/>
              <w:bottom w:val="single" w:sz="4" w:space="0" w:color="000000"/>
              <w:right w:val="single" w:sz="4" w:space="0" w:color="000000"/>
            </w:tcBorders>
            <w:vAlign w:val="center"/>
            <w:hideMark/>
          </w:tcPr>
          <w:p w14:paraId="4430C571" w14:textId="77777777" w:rsidR="00F71407" w:rsidRDefault="00F71407">
            <w:pPr>
              <w:spacing w:after="120"/>
              <w:jc w:val="right"/>
              <w:rPr>
                <w:sz w:val="24"/>
                <w:szCs w:val="24"/>
                <w:lang w:eastAsia="en-US"/>
              </w:rPr>
            </w:pPr>
            <w:r>
              <w:rPr>
                <w:sz w:val="24"/>
                <w:szCs w:val="24"/>
                <w:lang w:eastAsia="en-US"/>
              </w:rPr>
              <w:t>10.33%</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1E13498F" w14:textId="77777777" w:rsidR="00F71407" w:rsidRDefault="00F71407">
            <w:pPr>
              <w:spacing w:after="120"/>
              <w:jc w:val="right"/>
              <w:rPr>
                <w:sz w:val="24"/>
                <w:szCs w:val="24"/>
                <w:lang w:eastAsia="en-US"/>
              </w:rPr>
            </w:pPr>
            <w:r>
              <w:rPr>
                <w:sz w:val="24"/>
                <w:szCs w:val="24"/>
                <w:lang w:eastAsia="en-US"/>
              </w:rPr>
              <w:t>2.19%</w:t>
            </w:r>
          </w:p>
        </w:tc>
      </w:tr>
      <w:tr w:rsidR="00F71407" w14:paraId="412CA37B" w14:textId="77777777">
        <w:trPr>
          <w:trHeight w:val="295"/>
          <w:jc w:val="center"/>
        </w:trPr>
        <w:tc>
          <w:tcPr>
            <w:tcW w:w="2769" w:type="dxa"/>
            <w:tcBorders>
              <w:top w:val="single" w:sz="4" w:space="0" w:color="000000"/>
              <w:left w:val="single" w:sz="4" w:space="0" w:color="000000"/>
              <w:bottom w:val="single" w:sz="4" w:space="0" w:color="000000"/>
              <w:right w:val="single" w:sz="4" w:space="0" w:color="000000"/>
            </w:tcBorders>
            <w:vAlign w:val="center"/>
            <w:hideMark/>
          </w:tcPr>
          <w:p w14:paraId="598948B9" w14:textId="77777777" w:rsidR="00F71407" w:rsidRDefault="00F71407">
            <w:pPr>
              <w:spacing w:after="120"/>
              <w:jc w:val="right"/>
              <w:rPr>
                <w:sz w:val="24"/>
                <w:szCs w:val="24"/>
                <w:lang w:eastAsia="en-US"/>
              </w:rPr>
            </w:pPr>
            <w:r>
              <w:rPr>
                <w:sz w:val="24"/>
                <w:szCs w:val="24"/>
                <w:lang w:eastAsia="en-US"/>
              </w:rPr>
              <w:t>10-year Treasury rate</w:t>
            </w:r>
          </w:p>
        </w:tc>
        <w:tc>
          <w:tcPr>
            <w:tcW w:w="1676" w:type="dxa"/>
            <w:tcBorders>
              <w:top w:val="single" w:sz="4" w:space="0" w:color="000000"/>
              <w:left w:val="single" w:sz="4" w:space="0" w:color="000000"/>
              <w:bottom w:val="single" w:sz="4" w:space="0" w:color="000000"/>
              <w:right w:val="single" w:sz="4" w:space="0" w:color="000000"/>
            </w:tcBorders>
            <w:vAlign w:val="center"/>
            <w:hideMark/>
          </w:tcPr>
          <w:p w14:paraId="02B7D0DB" w14:textId="77777777" w:rsidR="00F71407" w:rsidRDefault="00F71407">
            <w:pPr>
              <w:spacing w:after="120"/>
              <w:jc w:val="right"/>
              <w:rPr>
                <w:sz w:val="24"/>
                <w:szCs w:val="24"/>
                <w:lang w:eastAsia="en-US"/>
              </w:rPr>
            </w:pPr>
            <w:r>
              <w:rPr>
                <w:sz w:val="24"/>
                <w:szCs w:val="24"/>
                <w:lang w:eastAsia="en-US"/>
              </w:rPr>
              <w:t>2.71%</w:t>
            </w:r>
          </w:p>
        </w:tc>
        <w:tc>
          <w:tcPr>
            <w:tcW w:w="1602" w:type="dxa"/>
            <w:tcBorders>
              <w:top w:val="single" w:sz="4" w:space="0" w:color="000000"/>
              <w:left w:val="single" w:sz="4" w:space="0" w:color="000000"/>
              <w:bottom w:val="single" w:sz="4" w:space="0" w:color="000000"/>
              <w:right w:val="single" w:sz="4" w:space="0" w:color="000000"/>
            </w:tcBorders>
            <w:vAlign w:val="center"/>
            <w:hideMark/>
          </w:tcPr>
          <w:p w14:paraId="60D40765" w14:textId="77777777" w:rsidR="00F71407" w:rsidRDefault="00F71407">
            <w:pPr>
              <w:spacing w:after="120"/>
              <w:jc w:val="right"/>
              <w:rPr>
                <w:sz w:val="24"/>
                <w:szCs w:val="24"/>
                <w:lang w:eastAsia="en-US"/>
              </w:rPr>
            </w:pPr>
            <w:r>
              <w:rPr>
                <w:sz w:val="24"/>
                <w:szCs w:val="24"/>
                <w:lang w:eastAsia="en-US"/>
              </w:rPr>
              <w:t>6.66%</w:t>
            </w:r>
          </w:p>
        </w:tc>
      </w:tr>
    </w:tbl>
    <w:p w14:paraId="688884D7" w14:textId="77777777" w:rsidR="00F71407" w:rsidRDefault="00F71407" w:rsidP="00F71407">
      <w:pPr>
        <w:pStyle w:val="a7"/>
        <w:spacing w:after="120" w:line="240" w:lineRule="auto"/>
        <w:rPr>
          <w:sz w:val="24"/>
          <w:szCs w:val="24"/>
        </w:rPr>
      </w:pPr>
    </w:p>
    <w:p w14:paraId="71AD8B0D" w14:textId="7A5774EB" w:rsidR="00733EDD" w:rsidRPr="00F71407" w:rsidRDefault="00F71407" w:rsidP="00F71407">
      <w:pPr>
        <w:pStyle w:val="a7"/>
        <w:spacing w:after="120" w:line="240" w:lineRule="auto"/>
        <w:rPr>
          <w:rFonts w:hint="eastAsia"/>
          <w:sz w:val="24"/>
          <w:szCs w:val="24"/>
        </w:rPr>
      </w:pPr>
      <w:r>
        <w:rPr>
          <w:sz w:val="24"/>
          <w:szCs w:val="24"/>
        </w:rPr>
        <w:t>The money growth rate is significantly higher in April 2014 than it was in January 2000. The 10-year treasury rate is significantly lower in April 2014 than it was in January 2000.</w:t>
      </w:r>
    </w:p>
    <w:sectPr w:rsidR="00733EDD" w:rsidRPr="00F714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42D05" w14:textId="77777777" w:rsidR="00D55762" w:rsidRDefault="00D55762" w:rsidP="00F71407">
      <w:r>
        <w:separator/>
      </w:r>
    </w:p>
  </w:endnote>
  <w:endnote w:type="continuationSeparator" w:id="0">
    <w:p w14:paraId="59A2F510" w14:textId="77777777" w:rsidR="00D55762" w:rsidRDefault="00D55762" w:rsidP="00F7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779A4" w14:textId="77777777" w:rsidR="00D55762" w:rsidRDefault="00D55762" w:rsidP="00F71407">
      <w:r>
        <w:separator/>
      </w:r>
    </w:p>
  </w:footnote>
  <w:footnote w:type="continuationSeparator" w:id="0">
    <w:p w14:paraId="0CFAEAA9" w14:textId="77777777" w:rsidR="00D55762" w:rsidRDefault="00D55762" w:rsidP="00F71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5990"/>
    <w:multiLevelType w:val="hybridMultilevel"/>
    <w:tmpl w:val="9C1675BC"/>
    <w:lvl w:ilvl="0" w:tplc="2FCE382E">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762793"/>
    <w:multiLevelType w:val="hybridMultilevel"/>
    <w:tmpl w:val="CEF0560C"/>
    <w:lvl w:ilvl="0" w:tplc="CBB808A6">
      <w:start w:val="1"/>
      <w:numFmt w:val="decimal"/>
      <w:lvlText w:val="%1."/>
      <w:lvlJc w:val="left"/>
      <w:pPr>
        <w:ind w:left="360" w:hanging="360"/>
      </w:p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start w:val="1"/>
      <w:numFmt w:val="decimal"/>
      <w:lvlText w:val="%4."/>
      <w:lvlJc w:val="left"/>
      <w:pPr>
        <w:ind w:left="2960" w:hanging="360"/>
      </w:pPr>
    </w:lvl>
    <w:lvl w:ilvl="4" w:tplc="04090019">
      <w:start w:val="1"/>
      <w:numFmt w:val="lowerLetter"/>
      <w:lvlText w:val="%5."/>
      <w:lvlJc w:val="left"/>
      <w:pPr>
        <w:ind w:left="3680" w:hanging="360"/>
      </w:pPr>
    </w:lvl>
    <w:lvl w:ilvl="5" w:tplc="0409001B">
      <w:start w:val="1"/>
      <w:numFmt w:val="lowerRoman"/>
      <w:lvlText w:val="%6."/>
      <w:lvlJc w:val="right"/>
      <w:pPr>
        <w:ind w:left="4400" w:hanging="180"/>
      </w:pPr>
    </w:lvl>
    <w:lvl w:ilvl="6" w:tplc="0409000F">
      <w:start w:val="1"/>
      <w:numFmt w:val="decimal"/>
      <w:lvlText w:val="%7."/>
      <w:lvlJc w:val="left"/>
      <w:pPr>
        <w:ind w:left="5120" w:hanging="360"/>
      </w:pPr>
    </w:lvl>
    <w:lvl w:ilvl="7" w:tplc="04090019">
      <w:start w:val="1"/>
      <w:numFmt w:val="lowerLetter"/>
      <w:lvlText w:val="%8."/>
      <w:lvlJc w:val="left"/>
      <w:pPr>
        <w:ind w:left="5840" w:hanging="360"/>
      </w:pPr>
    </w:lvl>
    <w:lvl w:ilvl="8" w:tplc="0409001B">
      <w:start w:val="1"/>
      <w:numFmt w:val="lowerRoman"/>
      <w:lvlText w:val="%9."/>
      <w:lvlJc w:val="right"/>
      <w:pPr>
        <w:ind w:left="6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29"/>
    <w:rsid w:val="00733EDD"/>
    <w:rsid w:val="00BC3A29"/>
    <w:rsid w:val="00D55762"/>
    <w:rsid w:val="00F7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BEE06"/>
  <w15:chartTrackingRefBased/>
  <w15:docId w15:val="{1421A92E-0737-49DD-B97B-5E0836DD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4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71407"/>
    <w:rPr>
      <w:sz w:val="18"/>
      <w:szCs w:val="18"/>
    </w:rPr>
  </w:style>
  <w:style w:type="paragraph" w:styleId="a5">
    <w:name w:val="footer"/>
    <w:basedOn w:val="a"/>
    <w:link w:val="a6"/>
    <w:uiPriority w:val="99"/>
    <w:unhideWhenUsed/>
    <w:rsid w:val="00F71407"/>
    <w:pPr>
      <w:tabs>
        <w:tab w:val="center" w:pos="4153"/>
        <w:tab w:val="right" w:pos="8306"/>
      </w:tabs>
      <w:snapToGrid w:val="0"/>
      <w:jc w:val="left"/>
    </w:pPr>
    <w:rPr>
      <w:sz w:val="18"/>
      <w:szCs w:val="18"/>
    </w:rPr>
  </w:style>
  <w:style w:type="character" w:customStyle="1" w:styleId="a6">
    <w:name w:val="页脚 字符"/>
    <w:basedOn w:val="a0"/>
    <w:link w:val="a5"/>
    <w:uiPriority w:val="99"/>
    <w:rsid w:val="00F71407"/>
    <w:rPr>
      <w:sz w:val="18"/>
      <w:szCs w:val="18"/>
    </w:rPr>
  </w:style>
  <w:style w:type="paragraph" w:styleId="a7">
    <w:name w:val="List Paragraph"/>
    <w:basedOn w:val="a"/>
    <w:uiPriority w:val="34"/>
    <w:qFormat/>
    <w:rsid w:val="00F71407"/>
    <w:pPr>
      <w:spacing w:after="80" w:line="276" w:lineRule="auto"/>
      <w:ind w:left="720"/>
    </w:pPr>
    <w:rPr>
      <w:rFonts w:eastAsia="Calibri"/>
      <w:sz w:val="22"/>
    </w:rPr>
  </w:style>
  <w:style w:type="paragraph" w:customStyle="1" w:styleId="H1">
    <w:name w:val="H1"/>
    <w:rsid w:val="00F71407"/>
    <w:pPr>
      <w:tabs>
        <w:tab w:val="left" w:pos="0"/>
      </w:tabs>
      <w:suppressAutoHyphens/>
      <w:spacing w:after="200"/>
      <w:jc w:val="both"/>
    </w:pPr>
    <w:rPr>
      <w:rFonts w:ascii="Times" w:hAnsi="Times" w:cs="Times New Roman"/>
      <w:b/>
      <w:caps/>
      <w:noProof/>
      <w:kern w:val="0"/>
      <w:sz w:val="28"/>
      <w:szCs w:val="20"/>
      <w:lang w:eastAsia="en-US"/>
    </w:rPr>
  </w:style>
  <w:style w:type="paragraph" w:customStyle="1" w:styleId="PartN">
    <w:name w:val="Part_N"/>
    <w:rsid w:val="00F71407"/>
    <w:pPr>
      <w:tabs>
        <w:tab w:val="left" w:pos="-720"/>
      </w:tabs>
      <w:suppressAutoHyphens/>
      <w:spacing w:before="2600" w:after="1240"/>
      <w:jc w:val="center"/>
    </w:pPr>
    <w:rPr>
      <w:rFonts w:ascii="Times New Roman" w:hAnsi="Times New Roman" w:cs="Times New Roman"/>
      <w:b/>
      <w:noProof/>
      <w:kern w:val="0"/>
      <w:sz w:val="52"/>
      <w:szCs w:val="20"/>
      <w:lang w:eastAsia="en-US"/>
    </w:rPr>
  </w:style>
  <w:style w:type="paragraph" w:customStyle="1" w:styleId="ChNo">
    <w:name w:val="Ch_No."/>
    <w:basedOn w:val="a"/>
    <w:qFormat/>
    <w:rsid w:val="00F71407"/>
    <w:pPr>
      <w:spacing w:after="240"/>
    </w:pPr>
    <w:rPr>
      <w:rFonts w:ascii="Times" w:hAnsi="Times"/>
      <w:b/>
      <w:sz w:val="32"/>
      <w:szCs w:val="28"/>
    </w:rPr>
  </w:style>
  <w:style w:type="paragraph" w:customStyle="1" w:styleId="Style1">
    <w:name w:val="Style1"/>
    <w:basedOn w:val="a"/>
    <w:qFormat/>
    <w:rsid w:val="00F71407"/>
    <w:pPr>
      <w:keepNext/>
      <w:keepLines/>
      <w:tabs>
        <w:tab w:val="right" w:pos="270"/>
        <w:tab w:val="left" w:pos="450"/>
      </w:tabs>
      <w:snapToGrid w:val="0"/>
      <w:spacing w:after="60"/>
      <w:ind w:left="446" w:hanging="446"/>
    </w:pPr>
    <w:rPr>
      <w:rFonts w:ascii="Times" w:hAnsi="Times"/>
      <w:sz w:val="22"/>
    </w:rPr>
  </w:style>
  <w:style w:type="paragraph" w:customStyle="1" w:styleId="Style2">
    <w:name w:val="Style2"/>
    <w:basedOn w:val="a"/>
    <w:qFormat/>
    <w:rsid w:val="00F71407"/>
    <w:pPr>
      <w:keepNext/>
      <w:keepLines/>
      <w:tabs>
        <w:tab w:val="right" w:pos="270"/>
        <w:tab w:val="left" w:pos="450"/>
      </w:tabs>
      <w:snapToGrid w:val="0"/>
      <w:spacing w:before="200" w:after="60"/>
      <w:ind w:left="446" w:hanging="446"/>
    </w:pPr>
    <w:rPr>
      <w:rFonts w:ascii="Times" w:hAnsi="Times"/>
      <w:sz w:val="22"/>
    </w:rPr>
  </w:style>
  <w:style w:type="table" w:styleId="a8">
    <w:name w:val="Table Grid"/>
    <w:basedOn w:val="a1"/>
    <w:uiPriority w:val="59"/>
    <w:rsid w:val="00F71407"/>
    <w:rPr>
      <w:rFonts w:ascii="Times New Roman" w:eastAsia="Times New Roman" w:hAnsi="Times New Roman" w:cs="Times New Roman"/>
      <w:kern w:val="0"/>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2019-07-08T03:16:00Z</dcterms:created>
  <dcterms:modified xsi:type="dcterms:W3CDTF">2019-07-08T03:17:00Z</dcterms:modified>
</cp:coreProperties>
</file>